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3636B" w:rsidRDefault="00066AC8" w:rsidP="00C86301">
      <w:pPr>
        <w:suppressAutoHyphens w:val="0"/>
        <w:autoSpaceDE w:val="0"/>
        <w:autoSpaceDN w:val="0"/>
        <w:adjustRightInd w:val="0"/>
        <w:spacing w:after="0"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49126C">
        <w:rPr>
          <w:rFonts w:ascii="Century Gothic" w:hAnsi="Century Gothic"/>
          <w:b/>
          <w:color w:val="002060"/>
          <w:sz w:val="24"/>
        </w:rPr>
        <w:t>,</w:t>
      </w:r>
      <w:r w:rsidRPr="00E552F6">
        <w:rPr>
          <w:rFonts w:ascii="Century Gothic" w:hAnsi="Century Gothic" w:cs="Tahoma"/>
          <w:b/>
          <w:color w:val="002060"/>
          <w:sz w:val="24"/>
          <w:szCs w:val="24"/>
        </w:rPr>
        <w:t>Star</w:t>
      </w:r>
      <w:r w:rsidR="00E552F6" w:rsidRPr="00E552F6">
        <w:rPr>
          <w:rFonts w:ascii="Century Gothic" w:hAnsi="Century Gothic" w:cs="Tahoma"/>
          <w:b/>
          <w:color w:val="002060"/>
          <w:sz w:val="24"/>
          <w:szCs w:val="24"/>
        </w:rPr>
        <w:t>é</w:t>
      </w:r>
      <w:r w:rsidRPr="00E552F6">
        <w:rPr>
          <w:rFonts w:ascii="Century Gothic" w:hAnsi="Century Gothic" w:cs="Tahoma"/>
          <w:b/>
          <w:color w:val="002060"/>
          <w:sz w:val="24"/>
          <w:szCs w:val="24"/>
        </w:rPr>
        <w:t xml:space="preserve"> by</w:t>
      </w:r>
      <w:r w:rsidR="00E552F6" w:rsidRPr="00E552F6">
        <w:rPr>
          <w:rFonts w:ascii="Century Gothic" w:hAnsi="Century Gothic" w:cs="Tahoma"/>
          <w:b/>
          <w:color w:val="002060"/>
          <w:sz w:val="24"/>
          <w:szCs w:val="24"/>
        </w:rPr>
        <w:t>dlení</w:t>
      </w:r>
      <w:r w:rsidR="00E552F6" w:rsidRPr="0049126C">
        <w:rPr>
          <w:rFonts w:ascii="Century Gothic" w:hAnsi="Century Gothic"/>
          <w:b/>
          <w:color w:val="002060"/>
          <w:sz w:val="24"/>
        </w:rPr>
        <w:t xml:space="preserve"> </w:t>
      </w:r>
      <w:r w:rsidRPr="0049126C">
        <w:rPr>
          <w:rFonts w:ascii="Century Gothic" w:hAnsi="Century Gothic"/>
          <w:b/>
          <w:color w:val="002060"/>
          <w:sz w:val="24"/>
        </w:rPr>
        <w:t>za </w:t>
      </w:r>
      <w:r w:rsidRPr="00E552F6">
        <w:rPr>
          <w:rFonts w:ascii="Century Gothic" w:hAnsi="Century Gothic" w:cs="Tahoma"/>
          <w:b/>
          <w:color w:val="002060"/>
          <w:sz w:val="24"/>
          <w:szCs w:val="24"/>
        </w:rPr>
        <w:t>nov</w:t>
      </w:r>
      <w:r w:rsidR="00E552F6" w:rsidRPr="00E552F6">
        <w:rPr>
          <w:rFonts w:ascii="Century Gothic" w:hAnsi="Century Gothic" w:cs="Tahoma"/>
          <w:b/>
          <w:color w:val="002060"/>
          <w:sz w:val="24"/>
          <w:szCs w:val="24"/>
        </w:rPr>
        <w:t>é</w:t>
      </w:r>
      <w:r w:rsidRPr="0049126C">
        <w:rPr>
          <w:rFonts w:ascii="Century Gothic" w:hAnsi="Century Gothic"/>
          <w:b/>
          <w:color w:val="002060"/>
          <w:sz w:val="24"/>
        </w:rPr>
        <w:t>´</w:t>
      </w:r>
      <w:r w:rsidRPr="00E552F6">
        <w:rPr>
          <w:rFonts w:ascii="Century Gothic" w:hAnsi="Century Gothic" w:cs="Tahoma"/>
          <w:b/>
          <w:color w:val="002060"/>
          <w:sz w:val="24"/>
          <w:szCs w:val="24"/>
        </w:rPr>
        <w:t xml:space="preserve"> jednoduše</w:t>
      </w:r>
      <w:r>
        <w:rPr>
          <w:rFonts w:ascii="Century Gothic" w:hAnsi="Century Gothic" w:cs="Tahoma"/>
          <w:b/>
          <w:color w:val="002060"/>
          <w:sz w:val="24"/>
          <w:szCs w:val="24"/>
        </w:rPr>
        <w:t>: r</w:t>
      </w:r>
      <w:r w:rsidR="00177E2F">
        <w:rPr>
          <w:rFonts w:ascii="Century Gothic" w:hAnsi="Century Gothic" w:cs="Tahoma"/>
          <w:b/>
          <w:color w:val="002060"/>
          <w:sz w:val="24"/>
          <w:szCs w:val="24"/>
        </w:rPr>
        <w:t xml:space="preserve">ealitní kancelář </w:t>
      </w:r>
      <w:r w:rsidR="0068103E">
        <w:rPr>
          <w:rFonts w:ascii="Century Gothic" w:hAnsi="Century Gothic" w:cs="Tahoma"/>
          <w:b/>
          <w:color w:val="002060"/>
          <w:sz w:val="24"/>
          <w:szCs w:val="24"/>
        </w:rPr>
        <w:t>LEXXUS</w:t>
      </w:r>
      <w:r w:rsidR="00177E2F">
        <w:rPr>
          <w:rFonts w:ascii="Century Gothic" w:hAnsi="Century Gothic" w:cs="Tahoma"/>
          <w:b/>
          <w:color w:val="002060"/>
          <w:sz w:val="24"/>
          <w:szCs w:val="24"/>
        </w:rPr>
        <w:t xml:space="preserve"> představuje novou službu pro klienty </w:t>
      </w:r>
    </w:p>
    <w:p w:rsidR="008709E3" w:rsidRPr="00985941" w:rsidRDefault="008709E3" w:rsidP="00C86301">
      <w:pPr>
        <w:spacing w:after="0" w:line="320" w:lineRule="atLeast"/>
        <w:jc w:val="both"/>
        <w:rPr>
          <w:rFonts w:ascii="Century Gothic" w:hAnsi="Century Gothic"/>
          <w:sz w:val="28"/>
        </w:rPr>
      </w:pPr>
    </w:p>
    <w:p w:rsidR="00624047" w:rsidRDefault="00624047" w:rsidP="00624047">
      <w:pPr>
        <w:spacing w:after="0" w:line="320" w:lineRule="atLeast"/>
        <w:jc w:val="both"/>
        <w:rPr>
          <w:rFonts w:ascii="Century Gothic" w:hAnsi="Century Gothic"/>
        </w:rPr>
      </w:pPr>
      <w:r w:rsidRPr="00833FC0">
        <w:rPr>
          <w:rFonts w:ascii="Century Gothic" w:hAnsi="Century Gothic"/>
        </w:rPr>
        <w:t xml:space="preserve">Praha, </w:t>
      </w:r>
      <w:r>
        <w:rPr>
          <w:rFonts w:ascii="Century Gothic" w:hAnsi="Century Gothic"/>
        </w:rPr>
        <w:t>1. září</w:t>
      </w:r>
      <w:r w:rsidRPr="00833FC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2016</w:t>
      </w:r>
    </w:p>
    <w:p w:rsidR="009D1B7B" w:rsidRDefault="009D1B7B" w:rsidP="00CC632A">
      <w:pPr>
        <w:spacing w:after="0" w:line="320" w:lineRule="atLeast"/>
        <w:jc w:val="both"/>
        <w:rPr>
          <w:rFonts w:ascii="Century Gothic" w:hAnsi="Century Gothic"/>
        </w:rPr>
      </w:pPr>
    </w:p>
    <w:p w:rsidR="00CC632A" w:rsidRDefault="00066AC8" w:rsidP="00CC632A">
      <w:pPr>
        <w:spacing w:after="0" w:line="320" w:lineRule="atLeast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Na tuzemském realitním trhu je poptávka po nemovitostech stále vysoká. </w:t>
      </w:r>
      <w:r w:rsidR="00F57D36">
        <w:rPr>
          <w:rFonts w:ascii="Century Gothic" w:hAnsi="Century Gothic"/>
          <w:b/>
        </w:rPr>
        <w:t>Zájemci o </w:t>
      </w:r>
      <w:r>
        <w:rPr>
          <w:rFonts w:ascii="Century Gothic" w:hAnsi="Century Gothic"/>
          <w:b/>
        </w:rPr>
        <w:t>lepší bydlení se však často</w:t>
      </w:r>
      <w:r w:rsidR="00F57D36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potýka</w:t>
      </w:r>
      <w:r w:rsidR="00F57D36">
        <w:rPr>
          <w:rFonts w:ascii="Century Gothic" w:hAnsi="Century Gothic"/>
          <w:b/>
        </w:rPr>
        <w:t>jí</w:t>
      </w:r>
      <w:r>
        <w:rPr>
          <w:rFonts w:ascii="Century Gothic" w:hAnsi="Century Gothic"/>
          <w:b/>
        </w:rPr>
        <w:t xml:space="preserve"> s řadou </w:t>
      </w:r>
      <w:r w:rsidR="00B22DC8">
        <w:rPr>
          <w:rFonts w:ascii="Century Gothic" w:hAnsi="Century Gothic"/>
          <w:b/>
        </w:rPr>
        <w:t>úskalí</w:t>
      </w:r>
      <w:r>
        <w:rPr>
          <w:rFonts w:ascii="Century Gothic" w:hAnsi="Century Gothic"/>
          <w:b/>
        </w:rPr>
        <w:t>. Pokud nemají potřeb</w:t>
      </w:r>
      <w:r w:rsidR="005855BE">
        <w:rPr>
          <w:rFonts w:ascii="Century Gothic" w:hAnsi="Century Gothic"/>
          <w:b/>
        </w:rPr>
        <w:t>nou hotovost, čeká je složité vy</w:t>
      </w:r>
      <w:r>
        <w:rPr>
          <w:rFonts w:ascii="Century Gothic" w:hAnsi="Century Gothic"/>
          <w:b/>
        </w:rPr>
        <w:t>řizování hypotéky šité na míru</w:t>
      </w:r>
      <w:r w:rsidR="00B22DC8">
        <w:rPr>
          <w:rFonts w:ascii="Century Gothic" w:hAnsi="Century Gothic"/>
          <w:b/>
        </w:rPr>
        <w:t xml:space="preserve"> jejich potřebám,</w:t>
      </w:r>
      <w:r>
        <w:rPr>
          <w:rFonts w:ascii="Century Gothic" w:hAnsi="Century Gothic"/>
          <w:b/>
        </w:rPr>
        <w:t xml:space="preserve"> a především starost, jak prodat co nejrychleji svůj stávající byt či dům, aby získali další potřebné finance. To vše bude brzy ještě složitější v důsledku připravovaných změn v </w:t>
      </w:r>
      <w:r w:rsidR="00CC632A">
        <w:rPr>
          <w:rFonts w:ascii="Century Gothic" w:hAnsi="Century Gothic"/>
          <w:b/>
        </w:rPr>
        <w:t xml:space="preserve">hypotečním financování. </w:t>
      </w:r>
      <w:r w:rsidR="00B43293">
        <w:rPr>
          <w:rFonts w:ascii="Century Gothic" w:hAnsi="Century Gothic"/>
          <w:b/>
        </w:rPr>
        <w:t xml:space="preserve">Realitní kancelář LEXXUS proto </w:t>
      </w:r>
      <w:r w:rsidR="00367582">
        <w:rPr>
          <w:rFonts w:ascii="Century Gothic" w:hAnsi="Century Gothic"/>
          <w:b/>
        </w:rPr>
        <w:t>připravila</w:t>
      </w:r>
      <w:r w:rsidR="00B43293">
        <w:rPr>
          <w:rFonts w:ascii="Century Gothic" w:hAnsi="Century Gothic"/>
          <w:b/>
        </w:rPr>
        <w:t> </w:t>
      </w:r>
      <w:r w:rsidR="00367582">
        <w:rPr>
          <w:rFonts w:ascii="Century Gothic" w:hAnsi="Century Gothic"/>
          <w:b/>
        </w:rPr>
        <w:t>ve</w:t>
      </w:r>
      <w:r w:rsidR="00B22DC8">
        <w:rPr>
          <w:rFonts w:ascii="Century Gothic" w:hAnsi="Century Gothic"/>
          <w:b/>
        </w:rPr>
        <w:t xml:space="preserve"> spolupráci se společností </w:t>
      </w:r>
      <w:r w:rsidR="00A21958">
        <w:rPr>
          <w:rFonts w:ascii="Century Gothic" w:hAnsi="Century Gothic"/>
          <w:b/>
        </w:rPr>
        <w:t>HYPOASISTENT</w:t>
      </w:r>
      <w:r w:rsidR="00F81A79" w:rsidRPr="0049126C">
        <w:rPr>
          <w:rStyle w:val="Znakapoznpodarou"/>
        </w:rPr>
        <w:t xml:space="preserve"> </w:t>
      </w:r>
      <w:r w:rsidR="00B22DC8">
        <w:rPr>
          <w:rFonts w:ascii="Century Gothic" w:hAnsi="Century Gothic"/>
          <w:b/>
        </w:rPr>
        <w:t>novou službu „Star</w:t>
      </w:r>
      <w:r w:rsidR="00E552F6">
        <w:rPr>
          <w:rFonts w:ascii="Century Gothic" w:hAnsi="Century Gothic"/>
          <w:b/>
        </w:rPr>
        <w:t>é bydlení</w:t>
      </w:r>
      <w:r w:rsidR="00B22DC8">
        <w:rPr>
          <w:rFonts w:ascii="Century Gothic" w:hAnsi="Century Gothic"/>
          <w:b/>
        </w:rPr>
        <w:t xml:space="preserve"> za nov</w:t>
      </w:r>
      <w:r w:rsidR="00504CE6">
        <w:rPr>
          <w:rFonts w:ascii="Century Gothic" w:hAnsi="Century Gothic"/>
          <w:b/>
        </w:rPr>
        <w:t>é</w:t>
      </w:r>
      <w:r w:rsidR="00B22DC8">
        <w:rPr>
          <w:rFonts w:ascii="Century Gothic" w:hAnsi="Century Gothic"/>
          <w:b/>
        </w:rPr>
        <w:t xml:space="preserve">“, která celý proces výrazně zjednoduší. </w:t>
      </w:r>
      <w:r w:rsidR="00563014">
        <w:rPr>
          <w:rFonts w:ascii="Century Gothic" w:hAnsi="Century Gothic"/>
          <w:b/>
        </w:rPr>
        <w:t>Její spuštění se plánuje na</w:t>
      </w:r>
      <w:r w:rsidR="00367582">
        <w:rPr>
          <w:rFonts w:ascii="Century Gothic" w:hAnsi="Century Gothic"/>
          <w:b/>
        </w:rPr>
        <w:t xml:space="preserve"> září 2016.</w:t>
      </w:r>
    </w:p>
    <w:p w:rsidR="00CC632A" w:rsidRDefault="00CC632A" w:rsidP="00CC632A">
      <w:pPr>
        <w:spacing w:after="0" w:line="320" w:lineRule="atLeast"/>
        <w:jc w:val="both"/>
        <w:rPr>
          <w:rFonts w:ascii="Century Gothic" w:hAnsi="Century Gothic"/>
          <w:b/>
        </w:rPr>
      </w:pPr>
    </w:p>
    <w:p w:rsidR="005A1CCA" w:rsidRPr="003E5766" w:rsidRDefault="005A1CCA" w:rsidP="005A1CCA">
      <w:pPr>
        <w:spacing w:after="0" w:line="320" w:lineRule="atLeast"/>
        <w:jc w:val="both"/>
        <w:rPr>
          <w:rFonts w:ascii="Century Gothic" w:hAnsi="Century Gothic" w:cs="Arial"/>
          <w:bCs/>
          <w:color w:val="000000"/>
        </w:rPr>
      </w:pPr>
      <w:r w:rsidRPr="0012414D">
        <w:rPr>
          <w:rFonts w:ascii="Century Gothic" w:hAnsi="Century Gothic" w:cs="Arial"/>
          <w:bCs/>
          <w:color w:val="000000"/>
        </w:rPr>
        <w:t>„</w:t>
      </w:r>
      <w:r w:rsidR="00C2270C">
        <w:rPr>
          <w:rFonts w:ascii="Century Gothic" w:hAnsi="Century Gothic" w:cs="Arial"/>
          <w:bCs/>
          <w:color w:val="000000"/>
        </w:rPr>
        <w:t>Lidé, kteří chtějí bydlet lépe,</w:t>
      </w:r>
      <w:r w:rsidR="006C1C98">
        <w:rPr>
          <w:rFonts w:ascii="Century Gothic" w:hAnsi="Century Gothic" w:cs="Arial"/>
          <w:bCs/>
          <w:color w:val="000000"/>
        </w:rPr>
        <w:t xml:space="preserve"> se č</w:t>
      </w:r>
      <w:r w:rsidR="00B22DC8">
        <w:rPr>
          <w:rFonts w:ascii="Century Gothic" w:hAnsi="Century Gothic" w:cs="Arial"/>
          <w:bCs/>
          <w:color w:val="000000"/>
        </w:rPr>
        <w:t>asto dostávají do obtížné</w:t>
      </w:r>
      <w:r w:rsidR="00506F5C">
        <w:rPr>
          <w:rFonts w:ascii="Century Gothic" w:hAnsi="Century Gothic" w:cs="Arial"/>
          <w:bCs/>
          <w:color w:val="000000"/>
        </w:rPr>
        <w:t xml:space="preserve"> situace. Zvláště pokud </w:t>
      </w:r>
      <w:r w:rsidR="00AE182D">
        <w:rPr>
          <w:rFonts w:ascii="Century Gothic" w:hAnsi="Century Gothic" w:cs="Arial"/>
          <w:bCs/>
          <w:color w:val="000000"/>
        </w:rPr>
        <w:t xml:space="preserve">se chystají </w:t>
      </w:r>
      <w:r w:rsidR="00506F5C">
        <w:rPr>
          <w:rFonts w:ascii="Century Gothic" w:hAnsi="Century Gothic" w:cs="Arial"/>
          <w:bCs/>
          <w:color w:val="000000"/>
        </w:rPr>
        <w:t xml:space="preserve">prodat </w:t>
      </w:r>
      <w:r w:rsidR="00C04AC4">
        <w:rPr>
          <w:rFonts w:ascii="Century Gothic" w:hAnsi="Century Gothic" w:cs="Arial"/>
          <w:bCs/>
          <w:color w:val="000000"/>
        </w:rPr>
        <w:t xml:space="preserve">svou </w:t>
      </w:r>
      <w:r w:rsidR="00506F5C">
        <w:rPr>
          <w:rFonts w:ascii="Century Gothic" w:hAnsi="Century Gothic" w:cs="Arial"/>
          <w:bCs/>
          <w:color w:val="000000"/>
        </w:rPr>
        <w:t xml:space="preserve">starší nemovitost, aby měli dostatek finančních prostředků </w:t>
      </w:r>
      <w:r w:rsidR="005855BE">
        <w:rPr>
          <w:rFonts w:ascii="Century Gothic" w:hAnsi="Century Gothic" w:cs="Arial"/>
          <w:bCs/>
          <w:color w:val="000000"/>
        </w:rPr>
        <w:t>na </w:t>
      </w:r>
      <w:r w:rsidR="00C04AC4">
        <w:rPr>
          <w:rFonts w:ascii="Century Gothic" w:hAnsi="Century Gothic" w:cs="Arial"/>
          <w:bCs/>
          <w:color w:val="000000"/>
        </w:rPr>
        <w:t>zakoupení nového</w:t>
      </w:r>
      <w:r w:rsidR="00506F5C">
        <w:rPr>
          <w:rFonts w:ascii="Century Gothic" w:hAnsi="Century Gothic" w:cs="Arial"/>
          <w:bCs/>
          <w:color w:val="000000"/>
        </w:rPr>
        <w:t xml:space="preserve"> byt</w:t>
      </w:r>
      <w:r w:rsidR="00C04AC4">
        <w:rPr>
          <w:rFonts w:ascii="Century Gothic" w:hAnsi="Century Gothic" w:cs="Arial"/>
          <w:bCs/>
          <w:color w:val="000000"/>
        </w:rPr>
        <w:t>u nebo rodinného domu</w:t>
      </w:r>
      <w:r w:rsidR="00506F5C">
        <w:rPr>
          <w:rFonts w:ascii="Century Gothic" w:hAnsi="Century Gothic" w:cs="Arial"/>
          <w:bCs/>
          <w:color w:val="000000"/>
        </w:rPr>
        <w:t xml:space="preserve">. Všechny potřebné </w:t>
      </w:r>
      <w:r w:rsidR="003E5766">
        <w:rPr>
          <w:rFonts w:ascii="Century Gothic" w:hAnsi="Century Gothic" w:cs="Arial"/>
          <w:bCs/>
          <w:color w:val="000000"/>
        </w:rPr>
        <w:t xml:space="preserve">obchodní, finanční i právní </w:t>
      </w:r>
      <w:r w:rsidR="00C04AC4">
        <w:rPr>
          <w:rFonts w:ascii="Century Gothic" w:hAnsi="Century Gothic" w:cs="Arial"/>
          <w:bCs/>
          <w:color w:val="000000"/>
        </w:rPr>
        <w:t>transakce totiž</w:t>
      </w:r>
      <w:r w:rsidR="00506F5C">
        <w:rPr>
          <w:rFonts w:ascii="Century Gothic" w:hAnsi="Century Gothic" w:cs="Arial"/>
          <w:bCs/>
          <w:color w:val="000000"/>
        </w:rPr>
        <w:t xml:space="preserve"> mohou trvat mnohem déle, než očekávají. </w:t>
      </w:r>
      <w:r w:rsidR="003E5766">
        <w:rPr>
          <w:rFonts w:ascii="Century Gothic" w:hAnsi="Century Gothic" w:cs="Arial"/>
          <w:bCs/>
          <w:color w:val="000000"/>
        </w:rPr>
        <w:t xml:space="preserve">V rámci služby </w:t>
      </w:r>
      <w:r w:rsidR="00C04AC4">
        <w:rPr>
          <w:rFonts w:ascii="Century Gothic" w:hAnsi="Century Gothic" w:cs="Arial"/>
          <w:bCs/>
          <w:color w:val="000000"/>
        </w:rPr>
        <w:t>´</w:t>
      </w:r>
      <w:r w:rsidR="00E552F6">
        <w:rPr>
          <w:rFonts w:ascii="Century Gothic" w:hAnsi="Century Gothic" w:cs="Arial"/>
          <w:bCs/>
          <w:color w:val="000000"/>
        </w:rPr>
        <w:t>Staré bydlení za nové</w:t>
      </w:r>
      <w:r w:rsidR="00C04AC4">
        <w:rPr>
          <w:rFonts w:ascii="Century Gothic" w:hAnsi="Century Gothic" w:cs="Arial"/>
          <w:bCs/>
          <w:color w:val="000000"/>
        </w:rPr>
        <w:t>´</w:t>
      </w:r>
      <w:r w:rsidR="003E5766">
        <w:rPr>
          <w:rFonts w:ascii="Century Gothic" w:hAnsi="Century Gothic" w:cs="Arial"/>
          <w:bCs/>
          <w:color w:val="000000"/>
        </w:rPr>
        <w:t xml:space="preserve"> </w:t>
      </w:r>
      <w:r w:rsidR="005855BE">
        <w:rPr>
          <w:rFonts w:ascii="Century Gothic" w:hAnsi="Century Gothic" w:cs="Arial"/>
          <w:bCs/>
          <w:color w:val="000000"/>
        </w:rPr>
        <w:t>jim toto</w:t>
      </w:r>
      <w:r w:rsidR="00506F5C">
        <w:rPr>
          <w:rFonts w:ascii="Century Gothic" w:hAnsi="Century Gothic" w:cs="Arial"/>
          <w:bCs/>
          <w:color w:val="000000"/>
        </w:rPr>
        <w:t xml:space="preserve"> </w:t>
      </w:r>
      <w:r w:rsidR="005855BE">
        <w:rPr>
          <w:rFonts w:ascii="Century Gothic" w:hAnsi="Century Gothic" w:cs="Arial"/>
          <w:bCs/>
          <w:color w:val="000000"/>
        </w:rPr>
        <w:t>významné životní rozhodnutí</w:t>
      </w:r>
      <w:r w:rsidR="00747612">
        <w:rPr>
          <w:rFonts w:ascii="Century Gothic" w:hAnsi="Century Gothic" w:cs="Arial"/>
          <w:bCs/>
          <w:color w:val="000000"/>
        </w:rPr>
        <w:t xml:space="preserve"> ulehčíme a</w:t>
      </w:r>
      <w:r w:rsidR="00AE182D">
        <w:rPr>
          <w:rFonts w:ascii="Century Gothic" w:hAnsi="Century Gothic" w:cs="Arial"/>
          <w:bCs/>
          <w:color w:val="000000"/>
        </w:rPr>
        <w:t> </w:t>
      </w:r>
      <w:r w:rsidR="00747612">
        <w:rPr>
          <w:rFonts w:ascii="Century Gothic" w:hAnsi="Century Gothic" w:cs="Arial"/>
          <w:bCs/>
          <w:color w:val="000000"/>
        </w:rPr>
        <w:t>vyřídíme za ně všechny potřebné kroky spojené s prodejem staré nem</w:t>
      </w:r>
      <w:r w:rsidR="00C04AC4">
        <w:rPr>
          <w:rFonts w:ascii="Century Gothic" w:hAnsi="Century Gothic" w:cs="Arial"/>
          <w:bCs/>
          <w:color w:val="000000"/>
        </w:rPr>
        <w:t xml:space="preserve">ovitosti, zajištěním hypotéky, </w:t>
      </w:r>
      <w:r w:rsidR="00747612">
        <w:rPr>
          <w:rFonts w:ascii="Century Gothic" w:hAnsi="Century Gothic" w:cs="Arial"/>
          <w:bCs/>
          <w:color w:val="000000"/>
        </w:rPr>
        <w:t xml:space="preserve">překlenovacího </w:t>
      </w:r>
      <w:r w:rsidR="00C04AC4">
        <w:rPr>
          <w:rFonts w:ascii="Century Gothic" w:hAnsi="Century Gothic" w:cs="Arial"/>
          <w:bCs/>
          <w:color w:val="000000"/>
        </w:rPr>
        <w:t>financování</w:t>
      </w:r>
      <w:r w:rsidR="00747612">
        <w:rPr>
          <w:rFonts w:ascii="Century Gothic" w:hAnsi="Century Gothic" w:cs="Arial"/>
          <w:bCs/>
          <w:color w:val="000000"/>
        </w:rPr>
        <w:t xml:space="preserve"> i koupí nového bydlení.</w:t>
      </w:r>
      <w:r w:rsidR="003E5766">
        <w:rPr>
          <w:rFonts w:ascii="Century Gothic" w:hAnsi="Century Gothic" w:cs="Arial"/>
          <w:bCs/>
          <w:color w:val="000000"/>
        </w:rPr>
        <w:t xml:space="preserve"> Klienti tak </w:t>
      </w:r>
      <w:r w:rsidR="005855BE">
        <w:rPr>
          <w:rFonts w:ascii="Century Gothic" w:hAnsi="Century Gothic" w:cs="Arial"/>
          <w:bCs/>
          <w:color w:val="000000"/>
        </w:rPr>
        <w:t>získají dost času na </w:t>
      </w:r>
      <w:r w:rsidR="00C04AC4">
        <w:rPr>
          <w:rFonts w:ascii="Century Gothic" w:hAnsi="Century Gothic" w:cs="Arial"/>
          <w:bCs/>
          <w:color w:val="000000"/>
        </w:rPr>
        <w:t>prodej své stávající nemovitosti – díky překlenovacímu</w:t>
      </w:r>
      <w:r w:rsidR="00C2270C">
        <w:rPr>
          <w:rFonts w:ascii="Century Gothic" w:hAnsi="Century Gothic" w:cs="Arial"/>
          <w:bCs/>
          <w:color w:val="000000"/>
        </w:rPr>
        <w:t xml:space="preserve"> úvěru nejsou pod tlakem, </w:t>
      </w:r>
      <w:r w:rsidR="00C04AC4">
        <w:rPr>
          <w:rFonts w:ascii="Century Gothic" w:hAnsi="Century Gothic" w:cs="Arial"/>
          <w:bCs/>
          <w:color w:val="000000"/>
        </w:rPr>
        <w:t>nemusejí ji prodávat pod cenou</w:t>
      </w:r>
      <w:r w:rsidR="00C2270C">
        <w:rPr>
          <w:rFonts w:ascii="Century Gothic" w:hAnsi="Century Gothic" w:cs="Arial"/>
          <w:bCs/>
          <w:color w:val="000000"/>
        </w:rPr>
        <w:t xml:space="preserve"> ani v mezidobí bydlet </w:t>
      </w:r>
      <w:r w:rsidR="003E5766">
        <w:rPr>
          <w:rFonts w:ascii="Century Gothic" w:hAnsi="Century Gothic" w:cs="Arial"/>
          <w:bCs/>
          <w:color w:val="000000"/>
        </w:rPr>
        <w:t>v</w:t>
      </w:r>
      <w:r w:rsidR="00431F2B">
        <w:rPr>
          <w:rFonts w:ascii="Century Gothic" w:hAnsi="Century Gothic" w:cs="Arial"/>
          <w:bCs/>
          <w:color w:val="000000"/>
        </w:rPr>
        <w:t> </w:t>
      </w:r>
      <w:r w:rsidR="003E5766">
        <w:rPr>
          <w:rFonts w:ascii="Century Gothic" w:hAnsi="Century Gothic" w:cs="Arial"/>
          <w:bCs/>
          <w:color w:val="000000"/>
        </w:rPr>
        <w:t>nájmu</w:t>
      </w:r>
      <w:r w:rsidRPr="0012414D">
        <w:rPr>
          <w:rFonts w:ascii="Century Gothic" w:hAnsi="Century Gothic" w:cs="Arial"/>
          <w:bCs/>
          <w:color w:val="000000"/>
        </w:rPr>
        <w:t xml:space="preserve">,“ </w:t>
      </w:r>
      <w:r w:rsidR="00747612">
        <w:rPr>
          <w:rFonts w:ascii="Century Gothic" w:hAnsi="Century Gothic" w:cs="Arial"/>
          <w:bCs/>
          <w:color w:val="000000"/>
        </w:rPr>
        <w:t>vysvětluje</w:t>
      </w:r>
      <w:r w:rsidRPr="0012414D">
        <w:rPr>
          <w:rFonts w:ascii="Century Gothic" w:hAnsi="Century Gothic" w:cs="Arial"/>
          <w:bCs/>
          <w:color w:val="000000"/>
        </w:rPr>
        <w:t xml:space="preserve"> </w:t>
      </w:r>
      <w:r w:rsidRPr="0012414D">
        <w:rPr>
          <w:rFonts w:ascii="Century Gothic" w:hAnsi="Century Gothic" w:cs="Arial"/>
          <w:b/>
          <w:bCs/>
          <w:color w:val="000000"/>
        </w:rPr>
        <w:t xml:space="preserve">Denisa </w:t>
      </w:r>
      <w:proofErr w:type="spellStart"/>
      <w:r w:rsidRPr="0012414D">
        <w:rPr>
          <w:rFonts w:ascii="Century Gothic" w:hAnsi="Century Gothic" w:cs="Arial"/>
          <w:b/>
          <w:bCs/>
          <w:color w:val="000000"/>
        </w:rPr>
        <w:t>Višňovská</w:t>
      </w:r>
      <w:proofErr w:type="spellEnd"/>
      <w:r>
        <w:rPr>
          <w:rFonts w:ascii="Century Gothic" w:hAnsi="Century Gothic" w:cs="Arial"/>
          <w:bCs/>
          <w:color w:val="000000"/>
        </w:rPr>
        <w:t>, partner LEXXUS.</w:t>
      </w:r>
    </w:p>
    <w:p w:rsidR="005A1CCA" w:rsidRDefault="005A1CCA" w:rsidP="005A1CCA">
      <w:pPr>
        <w:spacing w:after="0" w:line="320" w:lineRule="atLeast"/>
        <w:jc w:val="both"/>
        <w:rPr>
          <w:rFonts w:ascii="Century Gothic" w:hAnsi="Century Gothic"/>
          <w:b/>
        </w:rPr>
      </w:pPr>
    </w:p>
    <w:p w:rsidR="008B0FEE" w:rsidRPr="0049126C" w:rsidRDefault="00B44878" w:rsidP="00AE182D">
      <w:pPr>
        <w:spacing w:after="0" w:line="320" w:lineRule="atLeast"/>
        <w:jc w:val="both"/>
        <w:rPr>
          <w:rFonts w:ascii="Century Gothic" w:hAnsi="Century Gothic"/>
          <w:b/>
          <w:color w:val="002060"/>
          <w:sz w:val="24"/>
        </w:rPr>
      </w:pPr>
      <w:r>
        <w:rPr>
          <w:rFonts w:ascii="Century Gothic" w:hAnsi="Century Gothic"/>
        </w:rPr>
        <w:t xml:space="preserve">Služba </w:t>
      </w:r>
      <w:r w:rsidR="00C2270C">
        <w:rPr>
          <w:rFonts w:ascii="Century Gothic" w:hAnsi="Century Gothic"/>
        </w:rPr>
        <w:t>„</w:t>
      </w:r>
      <w:r w:rsidR="00E552F6">
        <w:rPr>
          <w:rFonts w:ascii="Century Gothic" w:hAnsi="Century Gothic"/>
        </w:rPr>
        <w:t>Staré bydlení za nové“</w:t>
      </w:r>
      <w:r>
        <w:rPr>
          <w:rFonts w:ascii="Century Gothic" w:hAnsi="Century Gothic"/>
        </w:rPr>
        <w:t xml:space="preserve"> </w:t>
      </w:r>
      <w:r w:rsidR="00C2270C">
        <w:rPr>
          <w:rFonts w:ascii="Century Gothic" w:hAnsi="Century Gothic"/>
        </w:rPr>
        <w:t>zajistí zájemcům</w:t>
      </w:r>
      <w:r w:rsidR="00614CC3">
        <w:rPr>
          <w:rFonts w:ascii="Century Gothic" w:hAnsi="Century Gothic"/>
        </w:rPr>
        <w:t xml:space="preserve"> financování</w:t>
      </w:r>
      <w:r>
        <w:rPr>
          <w:rFonts w:ascii="Century Gothic" w:hAnsi="Century Gothic"/>
        </w:rPr>
        <w:t xml:space="preserve"> </w:t>
      </w:r>
      <w:r w:rsidR="00185DF9">
        <w:rPr>
          <w:rFonts w:ascii="Century Gothic" w:hAnsi="Century Gothic"/>
        </w:rPr>
        <w:t xml:space="preserve">jejich </w:t>
      </w:r>
      <w:r>
        <w:rPr>
          <w:rFonts w:ascii="Century Gothic" w:hAnsi="Century Gothic"/>
        </w:rPr>
        <w:t>nové</w:t>
      </w:r>
      <w:r w:rsidR="00614CC3">
        <w:rPr>
          <w:rFonts w:ascii="Century Gothic" w:hAnsi="Century Gothic"/>
        </w:rPr>
        <w:t>ho</w:t>
      </w:r>
      <w:r>
        <w:rPr>
          <w:rFonts w:ascii="Century Gothic" w:hAnsi="Century Gothic"/>
        </w:rPr>
        <w:t xml:space="preserve"> bydlení až 100 % in</w:t>
      </w:r>
      <w:r w:rsidR="005855BE">
        <w:rPr>
          <w:rFonts w:ascii="Century Gothic" w:hAnsi="Century Gothic"/>
        </w:rPr>
        <w:t>vestičního záměru. Nemusí proto</w:t>
      </w:r>
      <w:r w:rsidR="00730BFB">
        <w:rPr>
          <w:rFonts w:ascii="Century Gothic" w:hAnsi="Century Gothic"/>
        </w:rPr>
        <w:t xml:space="preserve"> řešit v</w:t>
      </w:r>
      <w:r w:rsidR="00185DF9">
        <w:rPr>
          <w:rFonts w:ascii="Century Gothic" w:hAnsi="Century Gothic"/>
        </w:rPr>
        <w:t>lastní finanční zdroje</w:t>
      </w:r>
      <w:r>
        <w:rPr>
          <w:rFonts w:ascii="Century Gothic" w:hAnsi="Century Gothic"/>
        </w:rPr>
        <w:t>. Realitní</w:t>
      </w:r>
      <w:r w:rsidR="00185DF9">
        <w:rPr>
          <w:rFonts w:ascii="Century Gothic" w:hAnsi="Century Gothic"/>
        </w:rPr>
        <w:t xml:space="preserve"> kancelář LEXXUS </w:t>
      </w:r>
      <w:r w:rsidR="00081BF2">
        <w:rPr>
          <w:rFonts w:ascii="Century Gothic" w:hAnsi="Century Gothic"/>
        </w:rPr>
        <w:t xml:space="preserve">jim </w:t>
      </w:r>
      <w:r w:rsidR="00185DF9">
        <w:rPr>
          <w:rFonts w:ascii="Century Gothic" w:hAnsi="Century Gothic"/>
        </w:rPr>
        <w:t>ve spolupráci se společností </w:t>
      </w:r>
      <w:r w:rsidR="00A21958">
        <w:rPr>
          <w:rFonts w:ascii="Century Gothic" w:hAnsi="Century Gothic"/>
        </w:rPr>
        <w:t xml:space="preserve">HYPOASISTENT </w:t>
      </w:r>
      <w:r w:rsidR="00185DF9">
        <w:rPr>
          <w:rFonts w:ascii="Century Gothic" w:hAnsi="Century Gothic"/>
        </w:rPr>
        <w:t>poskytne v rámci překlenovacího financování dvě</w:t>
      </w:r>
      <w:r>
        <w:rPr>
          <w:rFonts w:ascii="Century Gothic" w:hAnsi="Century Gothic"/>
        </w:rPr>
        <w:t xml:space="preserve"> samostatné </w:t>
      </w:r>
      <w:r w:rsidR="00185DF9">
        <w:rPr>
          <w:rFonts w:ascii="Century Gothic" w:hAnsi="Century Gothic"/>
        </w:rPr>
        <w:t xml:space="preserve">hypotéky </w:t>
      </w:r>
      <w:r w:rsidR="00A21958">
        <w:rPr>
          <w:rFonts w:ascii="Century Gothic" w:hAnsi="Century Gothic"/>
        </w:rPr>
        <w:t>–</w:t>
      </w:r>
      <w:r w:rsidR="004C4A40">
        <w:rPr>
          <w:rFonts w:ascii="Century Gothic" w:hAnsi="Century Gothic"/>
        </w:rPr>
        <w:t xml:space="preserve"> </w:t>
      </w:r>
      <w:r w:rsidR="00A21958">
        <w:rPr>
          <w:rFonts w:ascii="Century Gothic" w:hAnsi="Century Gothic"/>
        </w:rPr>
        <w:t xml:space="preserve">zvýhodněnou </w:t>
      </w:r>
      <w:r w:rsidR="00614CC3">
        <w:rPr>
          <w:rFonts w:ascii="Century Gothic" w:hAnsi="Century Gothic"/>
        </w:rPr>
        <w:t xml:space="preserve">hypotéku </w:t>
      </w:r>
      <w:r w:rsidR="00185DF9">
        <w:rPr>
          <w:rFonts w:ascii="Century Gothic" w:hAnsi="Century Gothic"/>
        </w:rPr>
        <w:t>a </w:t>
      </w:r>
      <w:r w:rsidR="00A21958">
        <w:rPr>
          <w:rFonts w:ascii="Century Gothic" w:hAnsi="Century Gothic"/>
        </w:rPr>
        <w:t xml:space="preserve">dočasný </w:t>
      </w:r>
      <w:r w:rsidR="00185DF9">
        <w:rPr>
          <w:rFonts w:ascii="Century Gothic" w:hAnsi="Century Gothic"/>
        </w:rPr>
        <w:t xml:space="preserve">úvěr </w:t>
      </w:r>
      <w:r w:rsidR="00A21958">
        <w:rPr>
          <w:rFonts w:ascii="Century Gothic" w:hAnsi="Century Gothic"/>
        </w:rPr>
        <w:t xml:space="preserve">do okamžiku </w:t>
      </w:r>
      <w:r w:rsidR="00185DF9">
        <w:rPr>
          <w:rFonts w:ascii="Century Gothic" w:hAnsi="Century Gothic"/>
        </w:rPr>
        <w:t>prodej</w:t>
      </w:r>
      <w:r w:rsidR="00A21958">
        <w:rPr>
          <w:rFonts w:ascii="Century Gothic" w:hAnsi="Century Gothic"/>
        </w:rPr>
        <w:t>e</w:t>
      </w:r>
      <w:r w:rsidR="00185DF9">
        <w:rPr>
          <w:rFonts w:ascii="Century Gothic" w:hAnsi="Century Gothic"/>
        </w:rPr>
        <w:t xml:space="preserve"> stávajícího bytu či rodinného domu</w:t>
      </w:r>
      <w:r w:rsidR="00614CC3">
        <w:rPr>
          <w:rFonts w:ascii="Century Gothic" w:hAnsi="Century Gothic"/>
        </w:rPr>
        <w:t xml:space="preserve">. </w:t>
      </w:r>
      <w:r w:rsidR="00614CC3" w:rsidRPr="0012414D">
        <w:rPr>
          <w:rFonts w:ascii="Century Gothic" w:hAnsi="Century Gothic" w:cs="Arial"/>
          <w:bCs/>
          <w:color w:val="000000"/>
        </w:rPr>
        <w:t>„</w:t>
      </w:r>
      <w:r w:rsidR="00B30673">
        <w:rPr>
          <w:rFonts w:ascii="Century Gothic" w:hAnsi="Century Gothic" w:cs="Arial"/>
          <w:bCs/>
          <w:color w:val="000000"/>
        </w:rPr>
        <w:t xml:space="preserve">Jako modelový příklad </w:t>
      </w:r>
      <w:r w:rsidR="00185DF9">
        <w:rPr>
          <w:rFonts w:ascii="Century Gothic" w:hAnsi="Century Gothic" w:cs="Arial"/>
          <w:bCs/>
          <w:color w:val="000000"/>
        </w:rPr>
        <w:t xml:space="preserve">lze uvést stávající </w:t>
      </w:r>
      <w:r w:rsidR="00B30673">
        <w:rPr>
          <w:rFonts w:ascii="Century Gothic" w:hAnsi="Century Gothic" w:cs="Arial"/>
          <w:bCs/>
          <w:color w:val="000000"/>
        </w:rPr>
        <w:t xml:space="preserve">starý byt v hodnotě 1 000 000 Kč a </w:t>
      </w:r>
      <w:r w:rsidR="005855BE">
        <w:rPr>
          <w:rFonts w:ascii="Century Gothic" w:hAnsi="Century Gothic" w:cs="Arial"/>
          <w:bCs/>
          <w:color w:val="000000"/>
        </w:rPr>
        <w:t xml:space="preserve">budoucí komfortnější </w:t>
      </w:r>
      <w:r w:rsidR="00185DF9">
        <w:rPr>
          <w:rFonts w:ascii="Century Gothic" w:hAnsi="Century Gothic" w:cs="Arial"/>
          <w:bCs/>
          <w:color w:val="000000"/>
        </w:rPr>
        <w:t>bydlení v rodinném do</w:t>
      </w:r>
      <w:r w:rsidR="00B30673">
        <w:rPr>
          <w:rFonts w:ascii="Century Gothic" w:hAnsi="Century Gothic" w:cs="Arial"/>
          <w:bCs/>
          <w:color w:val="000000"/>
        </w:rPr>
        <w:t>m</w:t>
      </w:r>
      <w:r w:rsidR="00185DF9">
        <w:rPr>
          <w:rFonts w:ascii="Century Gothic" w:hAnsi="Century Gothic" w:cs="Arial"/>
          <w:bCs/>
          <w:color w:val="000000"/>
        </w:rPr>
        <w:t>ě</w:t>
      </w:r>
      <w:r w:rsidR="00B30673">
        <w:rPr>
          <w:rFonts w:ascii="Century Gothic" w:hAnsi="Century Gothic" w:cs="Arial"/>
          <w:bCs/>
          <w:color w:val="000000"/>
        </w:rPr>
        <w:t xml:space="preserve"> v ho</w:t>
      </w:r>
      <w:r w:rsidR="00185DF9">
        <w:rPr>
          <w:rFonts w:ascii="Century Gothic" w:hAnsi="Century Gothic" w:cs="Arial"/>
          <w:bCs/>
          <w:color w:val="000000"/>
        </w:rPr>
        <w:t>dnotě 3 500 000 Kč. Klientovi bude poskytnuta</w:t>
      </w:r>
      <w:r w:rsidR="00B30673">
        <w:rPr>
          <w:rFonts w:ascii="Century Gothic" w:hAnsi="Century Gothic" w:cs="Arial"/>
          <w:bCs/>
          <w:color w:val="000000"/>
        </w:rPr>
        <w:t xml:space="preserve"> hypotéka na 2 800 000 Kč, tedy </w:t>
      </w:r>
      <w:r w:rsidR="00185DF9">
        <w:rPr>
          <w:rFonts w:ascii="Century Gothic" w:hAnsi="Century Gothic" w:cs="Arial"/>
          <w:bCs/>
          <w:color w:val="000000"/>
        </w:rPr>
        <w:t>na </w:t>
      </w:r>
      <w:r w:rsidR="00B30673">
        <w:rPr>
          <w:rFonts w:ascii="Century Gothic" w:hAnsi="Century Gothic" w:cs="Arial"/>
          <w:bCs/>
          <w:color w:val="000000"/>
        </w:rPr>
        <w:t>80 % kupní ceny</w:t>
      </w:r>
      <w:r w:rsidR="00185DF9">
        <w:rPr>
          <w:rFonts w:ascii="Century Gothic" w:hAnsi="Century Gothic" w:cs="Arial"/>
          <w:bCs/>
          <w:color w:val="000000"/>
        </w:rPr>
        <w:t>. Z</w:t>
      </w:r>
      <w:r w:rsidR="00730BFB">
        <w:rPr>
          <w:rFonts w:ascii="Century Gothic" w:hAnsi="Century Gothic" w:cs="Arial"/>
          <w:bCs/>
          <w:color w:val="000000"/>
        </w:rPr>
        <w:t>bytek – 700 000 Kč – získá</w:t>
      </w:r>
      <w:r w:rsidR="00B30673">
        <w:rPr>
          <w:rFonts w:ascii="Century Gothic" w:hAnsi="Century Gothic" w:cs="Arial"/>
          <w:bCs/>
          <w:color w:val="000000"/>
        </w:rPr>
        <w:t xml:space="preserve"> jako překlenovací úvěr</w:t>
      </w:r>
      <w:r w:rsidR="00730BFB">
        <w:rPr>
          <w:rFonts w:ascii="Century Gothic" w:hAnsi="Century Gothic" w:cs="Arial"/>
          <w:bCs/>
          <w:color w:val="000000"/>
        </w:rPr>
        <w:t xml:space="preserve"> s pevnou úrokovou sazbou</w:t>
      </w:r>
      <w:r w:rsidR="00B30673">
        <w:rPr>
          <w:rFonts w:ascii="Century Gothic" w:hAnsi="Century Gothic" w:cs="Arial"/>
          <w:bCs/>
          <w:color w:val="000000"/>
        </w:rPr>
        <w:t xml:space="preserve">, který následně splatí z prodeje </w:t>
      </w:r>
      <w:r w:rsidR="00730BFB">
        <w:rPr>
          <w:rFonts w:ascii="Century Gothic" w:hAnsi="Century Gothic" w:cs="Arial"/>
          <w:bCs/>
          <w:color w:val="000000"/>
        </w:rPr>
        <w:t>svého stávajícího bytu</w:t>
      </w:r>
      <w:r w:rsidR="00730BFB" w:rsidRPr="0012414D">
        <w:rPr>
          <w:rFonts w:ascii="Century Gothic" w:hAnsi="Century Gothic" w:cs="Arial"/>
          <w:bCs/>
          <w:color w:val="000000"/>
        </w:rPr>
        <w:t xml:space="preserve">,“ </w:t>
      </w:r>
      <w:r w:rsidR="00730BFB">
        <w:rPr>
          <w:rFonts w:ascii="Century Gothic" w:hAnsi="Century Gothic" w:cs="Arial"/>
          <w:bCs/>
          <w:color w:val="000000"/>
        </w:rPr>
        <w:t>dodává</w:t>
      </w:r>
      <w:r w:rsidR="00730BFB" w:rsidRPr="0012414D">
        <w:rPr>
          <w:rFonts w:ascii="Century Gothic" w:hAnsi="Century Gothic" w:cs="Arial"/>
          <w:bCs/>
          <w:color w:val="000000"/>
        </w:rPr>
        <w:t xml:space="preserve"> </w:t>
      </w:r>
      <w:r w:rsidR="00730BFB" w:rsidRPr="0012414D">
        <w:rPr>
          <w:rFonts w:ascii="Century Gothic" w:hAnsi="Century Gothic" w:cs="Arial"/>
          <w:b/>
          <w:bCs/>
          <w:color w:val="000000"/>
        </w:rPr>
        <w:t xml:space="preserve">Denisa </w:t>
      </w:r>
      <w:proofErr w:type="spellStart"/>
      <w:r w:rsidR="00730BFB" w:rsidRPr="0012414D">
        <w:rPr>
          <w:rFonts w:ascii="Century Gothic" w:hAnsi="Century Gothic" w:cs="Arial"/>
          <w:b/>
          <w:bCs/>
          <w:color w:val="000000"/>
        </w:rPr>
        <w:t>Višňovská</w:t>
      </w:r>
      <w:proofErr w:type="spellEnd"/>
      <w:r w:rsidR="00730BFB">
        <w:rPr>
          <w:rFonts w:ascii="Century Gothic" w:hAnsi="Century Gothic" w:cs="Arial"/>
          <w:b/>
          <w:bCs/>
          <w:color w:val="000000"/>
        </w:rPr>
        <w:t xml:space="preserve">. </w:t>
      </w:r>
      <w:r w:rsidR="00730BFB">
        <w:rPr>
          <w:rFonts w:ascii="Century Gothic" w:hAnsi="Century Gothic" w:cs="Arial"/>
          <w:bCs/>
          <w:color w:val="000000"/>
        </w:rPr>
        <w:t>Splatnost překlenovacího financování je do dvou let – a klient má kdykoli možnost jednorázového splacení bez jakékoli sankce. Zajištění stávající nemovitostí je možné do 70 % LTV</w:t>
      </w:r>
      <w:r w:rsidR="00730BFB">
        <w:rPr>
          <w:rStyle w:val="Znakapoznpodarou"/>
          <w:rFonts w:ascii="Century Gothic" w:hAnsi="Century Gothic" w:cs="Arial"/>
          <w:bCs/>
          <w:color w:val="000000"/>
        </w:rPr>
        <w:footnoteReference w:id="2"/>
      </w:r>
      <w:r w:rsidR="00AE182D">
        <w:rPr>
          <w:rFonts w:ascii="Century Gothic" w:hAnsi="Century Gothic" w:cs="Arial"/>
          <w:bCs/>
          <w:color w:val="000000"/>
        </w:rPr>
        <w:t>.</w:t>
      </w:r>
    </w:p>
    <w:p w:rsidR="00DF33E9" w:rsidRPr="003D3099" w:rsidRDefault="00DF33E9" w:rsidP="00DF33E9">
      <w:pPr>
        <w:spacing w:line="240" w:lineRule="auto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  <w:b/>
          <w:color w:val="002060"/>
          <w:sz w:val="24"/>
          <w:szCs w:val="24"/>
        </w:rPr>
        <w:lastRenderedPageBreak/>
        <w:t>Realitní společnost</w:t>
      </w: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 xml:space="preserve"> LEXXUS</w:t>
      </w:r>
    </w:p>
    <w:p w:rsidR="00DF33E9" w:rsidRDefault="00DF33E9" w:rsidP="00DF33E9">
      <w:pPr>
        <w:jc w:val="both"/>
        <w:rPr>
          <w:rFonts w:ascii="Century Gothic" w:hAnsi="Century Gothic" w:cs="Tahoma"/>
        </w:rPr>
      </w:pPr>
      <w:r w:rsidRPr="00D053E4">
        <w:rPr>
          <w:rFonts w:ascii="Century Gothic" w:hAnsi="Century Gothic" w:cs="Tahoma"/>
        </w:rPr>
        <w:t>Realitní kancelář LEXXUS nabízí širokou nabídku nových bytů, novostaveb v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 xml:space="preserve">developerských projektech, rodinných domů a pozemků v Praze a okolí. </w:t>
      </w:r>
      <w:r>
        <w:rPr>
          <w:rFonts w:ascii="Century Gothic" w:hAnsi="Century Gothic" w:cs="Tahoma"/>
        </w:rPr>
        <w:t>Již v</w:t>
      </w:r>
      <w:r w:rsidRPr="00D053E4">
        <w:rPr>
          <w:rFonts w:ascii="Century Gothic" w:hAnsi="Century Gothic" w:cs="Tahoma"/>
        </w:rPr>
        <w:t xml:space="preserve">íce než dvě desítky </w:t>
      </w:r>
      <w:r>
        <w:rPr>
          <w:rFonts w:ascii="Century Gothic" w:hAnsi="Century Gothic" w:cs="Tahoma"/>
        </w:rPr>
        <w:t xml:space="preserve">let se specializuje na nové byty a je jejich největším prodejcem </w:t>
      </w:r>
      <w:r w:rsidRPr="00D053E4">
        <w:rPr>
          <w:rFonts w:ascii="Century Gothic" w:hAnsi="Century Gothic" w:cs="Tahoma"/>
        </w:rPr>
        <w:t xml:space="preserve">v Praze.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je oblíbenou volbou náročných klientů</w:t>
      </w:r>
      <w:r>
        <w:rPr>
          <w:rFonts w:ascii="Century Gothic" w:hAnsi="Century Gothic" w:cs="Tahoma"/>
        </w:rPr>
        <w:t>,</w:t>
      </w:r>
      <w:r w:rsidRPr="00D053E4">
        <w:rPr>
          <w:rFonts w:ascii="Century Gothic" w:hAnsi="Century Gothic" w:cs="Tahoma"/>
        </w:rPr>
        <w:t xml:space="preserve"> požadujících v</w:t>
      </w:r>
      <w:r>
        <w:rPr>
          <w:rFonts w:ascii="Century Gothic" w:hAnsi="Century Gothic" w:cs="Tahoma"/>
        </w:rPr>
        <w:t>ysokou kvalitu služeb a nabídky</w:t>
      </w:r>
      <w:r w:rsidRPr="00D053E4">
        <w:rPr>
          <w:rFonts w:ascii="Century Gothic" w:hAnsi="Century Gothic" w:cs="Tahoma"/>
        </w:rPr>
        <w:t xml:space="preserve">. </w:t>
      </w:r>
      <w:r>
        <w:rPr>
          <w:rFonts w:ascii="Century Gothic" w:hAnsi="Century Gothic" w:cs="Tahoma"/>
        </w:rPr>
        <w:t xml:space="preserve">V portfoliu </w:t>
      </w:r>
      <w:r w:rsidRPr="00D053E4">
        <w:rPr>
          <w:rFonts w:ascii="Century Gothic" w:hAnsi="Century Gothic" w:cs="Tahoma"/>
        </w:rPr>
        <w:t xml:space="preserve">společnosti jsou nové rezidenční projekty, nové byty a domy, second hand novostavby, rodinné domy na prodej i luxusní nemovitosti k prodeji či pronájmu. </w:t>
      </w:r>
      <w:r>
        <w:rPr>
          <w:rFonts w:ascii="Century Gothic" w:hAnsi="Century Gothic" w:cs="Tahoma"/>
        </w:rPr>
        <w:t>Dále p</w:t>
      </w:r>
      <w:r w:rsidRPr="00D053E4">
        <w:rPr>
          <w:rFonts w:ascii="Century Gothic" w:hAnsi="Century Gothic" w:cs="Tahoma"/>
        </w:rPr>
        <w:t xml:space="preserve">od značkou </w:t>
      </w:r>
      <w:proofErr w:type="spellStart"/>
      <w:r w:rsidRPr="00D053E4">
        <w:rPr>
          <w:rFonts w:ascii="Century Gothic" w:hAnsi="Century Gothic" w:cs="Tahoma"/>
        </w:rPr>
        <w:t>Lexxus</w:t>
      </w:r>
      <w:proofErr w:type="spellEnd"/>
      <w:r w:rsidRPr="00D053E4">
        <w:rPr>
          <w:rFonts w:ascii="Century Gothic" w:hAnsi="Century Gothic" w:cs="Tahoma"/>
        </w:rPr>
        <w:t xml:space="preserve"> </w:t>
      </w:r>
      <w:proofErr w:type="spellStart"/>
      <w:r w:rsidRPr="00D053E4">
        <w:rPr>
          <w:rFonts w:ascii="Century Gothic" w:hAnsi="Century Gothic" w:cs="Tahoma"/>
        </w:rPr>
        <w:t>Norton</w:t>
      </w:r>
      <w:proofErr w:type="spellEnd"/>
      <w:r w:rsidRPr="00D053E4">
        <w:rPr>
          <w:rFonts w:ascii="Century Gothic" w:hAnsi="Century Gothic" w:cs="Tahoma"/>
        </w:rPr>
        <w:t xml:space="preserve"> zajišťuje prodej či pronájem výhradně luxusních, nadstandardních</w:t>
      </w:r>
      <w:r>
        <w:rPr>
          <w:rFonts w:ascii="Century Gothic" w:hAnsi="Century Gothic" w:cs="Tahoma"/>
        </w:rPr>
        <w:t xml:space="preserve"> </w:t>
      </w:r>
      <w:r w:rsidRPr="00D053E4">
        <w:rPr>
          <w:rFonts w:ascii="Century Gothic" w:hAnsi="Century Gothic" w:cs="Tahoma"/>
        </w:rPr>
        <w:t>rezidenčních nemovitostí v nejlepších lokalitách Prahy a</w:t>
      </w:r>
      <w:r>
        <w:rPr>
          <w:rFonts w:ascii="Century Gothic" w:hAnsi="Century Gothic" w:cs="Tahoma"/>
        </w:rPr>
        <w:t> </w:t>
      </w:r>
      <w:r w:rsidRPr="00D053E4">
        <w:rPr>
          <w:rFonts w:ascii="Century Gothic" w:hAnsi="Century Gothic" w:cs="Tahoma"/>
        </w:rPr>
        <w:t>okolí.</w:t>
      </w:r>
    </w:p>
    <w:p w:rsidR="00DF33E9" w:rsidRDefault="00DF33E9" w:rsidP="00DF33E9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</w:p>
    <w:p w:rsidR="00DF33E9" w:rsidRPr="003D3099" w:rsidRDefault="00DF33E9" w:rsidP="00DF33E9">
      <w:pPr>
        <w:spacing w:line="320" w:lineRule="atLeast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 w:rsidRPr="003D3099">
        <w:rPr>
          <w:rFonts w:ascii="Century Gothic" w:hAnsi="Century Gothic" w:cs="Tahoma"/>
          <w:b/>
          <w:color w:val="002060"/>
          <w:sz w:val="24"/>
          <w:szCs w:val="24"/>
        </w:rPr>
        <w:t>Kontakt</w:t>
      </w:r>
    </w:p>
    <w:p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/>
        </w:rPr>
      </w:pPr>
      <w:r w:rsidRPr="00C67732">
        <w:rPr>
          <w:rFonts w:ascii="Century Gothic" w:hAnsi="Century Gothic" w:cs="Tahoma"/>
          <w:b/>
        </w:rPr>
        <w:t xml:space="preserve">Mgr. Denisa </w:t>
      </w:r>
      <w:proofErr w:type="spellStart"/>
      <w:r w:rsidRPr="00C67732">
        <w:rPr>
          <w:rFonts w:ascii="Century Gothic" w:hAnsi="Century Gothic" w:cs="Tahoma"/>
          <w:b/>
        </w:rPr>
        <w:t>Višňovská</w:t>
      </w:r>
      <w:proofErr w:type="spellEnd"/>
    </w:p>
    <w:p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</w:rPr>
      </w:pPr>
      <w:r w:rsidRPr="00C67732">
        <w:rPr>
          <w:rFonts w:ascii="Century Gothic" w:hAnsi="Century Gothic" w:cs="Tahoma"/>
        </w:rPr>
        <w:t>Partner LEXXUS</w:t>
      </w:r>
    </w:p>
    <w:p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Tahoma"/>
          <w:bCs/>
        </w:rPr>
      </w:pPr>
      <w:r w:rsidRPr="00C67732">
        <w:rPr>
          <w:rFonts w:ascii="Century Gothic" w:hAnsi="Century Gothic" w:cs="Tahoma"/>
        </w:rPr>
        <w:t xml:space="preserve">Email: </w:t>
      </w:r>
      <w:hyperlink r:id="rId8" w:history="1">
        <w:r w:rsidRPr="00C67732">
          <w:rPr>
            <w:rStyle w:val="Hypertextovodkaz"/>
            <w:rFonts w:ascii="Century Gothic" w:hAnsi="Century Gothic"/>
          </w:rPr>
          <w:t>pr@lexxus.cz</w:t>
        </w:r>
      </w:hyperlink>
    </w:p>
    <w:p w:rsidR="00DF33E9" w:rsidRPr="00C67732" w:rsidRDefault="00DF33E9" w:rsidP="00DF33E9">
      <w:pPr>
        <w:pStyle w:val="Bezmezer"/>
        <w:spacing w:line="320" w:lineRule="atLeast"/>
        <w:rPr>
          <w:rFonts w:ascii="Century Gothic" w:hAnsi="Century Gothic" w:cs="Century Gothic"/>
        </w:rPr>
      </w:pPr>
      <w:r w:rsidRPr="00C67732">
        <w:rPr>
          <w:rFonts w:ascii="Century Gothic" w:hAnsi="Century Gothic" w:cs="Tahoma"/>
          <w:bCs/>
        </w:rPr>
        <w:t xml:space="preserve">Telefon: </w:t>
      </w:r>
      <w:r w:rsidRPr="00C67732">
        <w:rPr>
          <w:rFonts w:ascii="Century Gothic" w:hAnsi="Century Gothic" w:cs="Century Gothic"/>
        </w:rPr>
        <w:t xml:space="preserve">+420 221 111 999 </w:t>
      </w:r>
    </w:p>
    <w:p w:rsidR="00DF33E9" w:rsidRDefault="0049126C" w:rsidP="00DF33E9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  <w:hyperlink r:id="rId9" w:history="1">
        <w:r w:rsidR="00DF33E9" w:rsidRPr="00C67732">
          <w:rPr>
            <w:rStyle w:val="Hypertextovodkaz"/>
            <w:rFonts w:ascii="Century Gothic" w:hAnsi="Century Gothic"/>
          </w:rPr>
          <w:t>www.lexxus.cz</w:t>
        </w:r>
      </w:hyperlink>
    </w:p>
    <w:p w:rsidR="005855BE" w:rsidRPr="0049126C" w:rsidRDefault="005855BE" w:rsidP="0049126C">
      <w:pPr>
        <w:spacing w:after="0" w:line="320" w:lineRule="atLeast"/>
        <w:jc w:val="both"/>
        <w:rPr>
          <w:color w:val="000000"/>
        </w:rPr>
      </w:pPr>
    </w:p>
    <w:p w:rsidR="00D35CD7" w:rsidRPr="005F6478" w:rsidRDefault="00D35CD7" w:rsidP="00D35CD7">
      <w:pPr>
        <w:spacing w:line="240" w:lineRule="auto"/>
        <w:jc w:val="both"/>
        <w:rPr>
          <w:rFonts w:ascii="Century Gothic" w:hAnsi="Century Gothic" w:cs="Tahoma"/>
          <w:b/>
          <w:color w:val="002060"/>
        </w:rPr>
      </w:pPr>
      <w:r w:rsidRPr="005F6478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5F6478">
        <w:rPr>
          <w:rFonts w:ascii="Century Gothic" w:hAnsi="Century Gothic" w:cs="Tahoma"/>
          <w:b/>
          <w:color w:val="002060"/>
        </w:rPr>
        <w:t>Crest</w:t>
      </w:r>
      <w:proofErr w:type="spellEnd"/>
      <w:r w:rsidRPr="005F6478">
        <w:rPr>
          <w:rFonts w:ascii="Century Gothic" w:hAnsi="Century Gothic" w:cs="Tahoma"/>
          <w:b/>
          <w:color w:val="002060"/>
        </w:rPr>
        <w:t xml:space="preserve"> Communications</w:t>
      </w:r>
    </w:p>
    <w:p w:rsidR="00D35CD7" w:rsidRPr="005F6478" w:rsidRDefault="00D35CD7" w:rsidP="00D35CD7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Marcela Kukaňová</w:t>
      </w:r>
    </w:p>
    <w:p w:rsidR="00D35CD7" w:rsidRPr="005F6478" w:rsidRDefault="00D35CD7" w:rsidP="00D35CD7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0" w:history="1">
        <w:r w:rsidRPr="005F6478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:rsidR="00D35CD7" w:rsidRPr="005F6478" w:rsidRDefault="00D35CD7" w:rsidP="00D35CD7">
      <w:pPr>
        <w:pStyle w:val="Bezmezer"/>
        <w:rPr>
          <w:rFonts w:ascii="Century Gothic" w:hAnsi="Century Gothic" w:cs="Arial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+420 731 613 618</w:t>
      </w:r>
      <w:bookmarkStart w:id="0" w:name="_GoBack"/>
      <w:bookmarkEnd w:id="0"/>
    </w:p>
    <w:p w:rsidR="00D35CD7" w:rsidRPr="005F6478" w:rsidRDefault="00D35CD7" w:rsidP="00D35CD7">
      <w:pPr>
        <w:pStyle w:val="Bezmezer"/>
        <w:rPr>
          <w:rFonts w:ascii="Century Gothic" w:hAnsi="Century Gothic"/>
        </w:rPr>
      </w:pPr>
    </w:p>
    <w:p w:rsidR="00D35CD7" w:rsidRPr="005F6478" w:rsidRDefault="00D35CD7" w:rsidP="00D35CD7">
      <w:pPr>
        <w:pStyle w:val="Bezmezer"/>
        <w:rPr>
          <w:rFonts w:ascii="Century Gothic" w:hAnsi="Century Gothic"/>
          <w:b/>
        </w:rPr>
      </w:pPr>
      <w:r w:rsidRPr="005F6478">
        <w:rPr>
          <w:rFonts w:ascii="Century Gothic" w:hAnsi="Century Gothic"/>
          <w:b/>
        </w:rPr>
        <w:t>Marie Cimplová</w:t>
      </w:r>
    </w:p>
    <w:p w:rsidR="00D35CD7" w:rsidRPr="005F6478" w:rsidRDefault="00D35CD7" w:rsidP="00D35CD7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Email: </w:t>
      </w:r>
      <w:hyperlink r:id="rId11" w:history="1">
        <w:r w:rsidRPr="005F6478">
          <w:rPr>
            <w:rStyle w:val="Hypertextovodkaz"/>
            <w:rFonts w:ascii="Century Gothic" w:hAnsi="Century Gothic" w:cs="Arial"/>
          </w:rPr>
          <w:t>marie.cimplova</w:t>
        </w:r>
        <w:r w:rsidRPr="005F6478">
          <w:rPr>
            <w:rStyle w:val="Hypertextovodkaz"/>
            <w:rFonts w:ascii="Century Gothic" w:hAnsi="Century Gothic" w:cs="Arial"/>
            <w:lang w:val="en-US"/>
          </w:rPr>
          <w:t>@</w:t>
        </w:r>
        <w:r w:rsidRPr="005F6478">
          <w:rPr>
            <w:rStyle w:val="Hypertextovodkaz"/>
            <w:rFonts w:ascii="Century Gothic" w:hAnsi="Century Gothic" w:cs="Arial"/>
          </w:rPr>
          <w:t>crestcom.cz</w:t>
        </w:r>
      </w:hyperlink>
    </w:p>
    <w:p w:rsidR="00D35CD7" w:rsidRPr="005F6478" w:rsidRDefault="00D35CD7" w:rsidP="00D35CD7">
      <w:pPr>
        <w:pStyle w:val="Bezmezer"/>
        <w:rPr>
          <w:rFonts w:ascii="Century Gothic" w:hAnsi="Century Gothic"/>
        </w:rPr>
      </w:pPr>
      <w:r w:rsidRPr="005F6478">
        <w:rPr>
          <w:rFonts w:ascii="Century Gothic" w:hAnsi="Century Gothic"/>
        </w:rPr>
        <w:t xml:space="preserve">Telefon: </w:t>
      </w:r>
      <w:r w:rsidRPr="005F6478">
        <w:rPr>
          <w:rFonts w:ascii="Century Gothic" w:hAnsi="Century Gothic" w:cs="Arial"/>
        </w:rPr>
        <w:t>+420 222 927 128, 731 613 602</w:t>
      </w:r>
    </w:p>
    <w:p w:rsidR="00D35CD7" w:rsidRPr="005F6478" w:rsidRDefault="00D35CD7" w:rsidP="00D35CD7">
      <w:pPr>
        <w:pStyle w:val="Bezmezer"/>
        <w:rPr>
          <w:rFonts w:ascii="Century Gothic" w:hAnsi="Century Gothic" w:cs="Tahoma"/>
        </w:rPr>
      </w:pPr>
    </w:p>
    <w:p w:rsidR="00D35CD7" w:rsidRPr="005F6478" w:rsidRDefault="00D35CD7" w:rsidP="00D35CD7">
      <w:pPr>
        <w:pStyle w:val="Bezmezer"/>
        <w:rPr>
          <w:rFonts w:ascii="Century Gothic" w:hAnsi="Century Gothic" w:cs="Tahoma"/>
        </w:rPr>
      </w:pPr>
      <w:r w:rsidRPr="005F6478">
        <w:rPr>
          <w:rFonts w:ascii="Century Gothic" w:hAnsi="Century Gothic" w:cs="Tahoma"/>
        </w:rPr>
        <w:t xml:space="preserve">Tiskové středisko: </w:t>
      </w:r>
      <w:hyperlink r:id="rId12" w:history="1">
        <w:r w:rsidRPr="005F6478">
          <w:rPr>
            <w:rStyle w:val="Hypertextovodkaz"/>
            <w:rFonts w:ascii="Century Gothic" w:hAnsi="Century Gothic" w:cs="Tahoma"/>
          </w:rPr>
          <w:t>www.crestcom.cz</w:t>
        </w:r>
      </w:hyperlink>
    </w:p>
    <w:p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:rsidR="00E77D93" w:rsidRPr="0049126C" w:rsidRDefault="00E77D93" w:rsidP="0049126C">
      <w:pPr>
        <w:spacing w:after="0" w:line="320" w:lineRule="atLeast"/>
        <w:jc w:val="both"/>
        <w:rPr>
          <w:color w:val="000000"/>
        </w:rPr>
      </w:pPr>
    </w:p>
    <w:p w:rsidR="00106DF1" w:rsidRDefault="00106DF1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p w:rsidR="00106DF1" w:rsidRDefault="00106DF1" w:rsidP="006B466F">
      <w:pPr>
        <w:pStyle w:val="Bezmezer"/>
        <w:spacing w:line="320" w:lineRule="atLeast"/>
        <w:rPr>
          <w:rStyle w:val="Hypertextovodkaz"/>
          <w:rFonts w:ascii="Century Gothic" w:hAnsi="Century Gothic"/>
        </w:rPr>
      </w:pPr>
    </w:p>
    <w:sectPr w:rsidR="00106DF1" w:rsidSect="00D107AA">
      <w:headerReference w:type="default" r:id="rId13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403" w:rsidRDefault="00360403">
      <w:pPr>
        <w:spacing w:after="0" w:line="240" w:lineRule="auto"/>
      </w:pPr>
      <w:r>
        <w:separator/>
      </w:r>
    </w:p>
  </w:endnote>
  <w:endnote w:type="continuationSeparator" w:id="0">
    <w:p w:rsidR="00360403" w:rsidRDefault="00360403">
      <w:pPr>
        <w:spacing w:after="0" w:line="240" w:lineRule="auto"/>
      </w:pPr>
      <w:r>
        <w:continuationSeparator/>
      </w:r>
    </w:p>
  </w:endnote>
  <w:endnote w:type="continuationNotice" w:id="1">
    <w:p w:rsidR="00360403" w:rsidRDefault="003604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BookCE">
    <w:altName w:val="GothamBookC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403" w:rsidRDefault="00360403">
      <w:pPr>
        <w:spacing w:after="0" w:line="240" w:lineRule="auto"/>
      </w:pPr>
      <w:r>
        <w:separator/>
      </w:r>
    </w:p>
  </w:footnote>
  <w:footnote w:type="continuationSeparator" w:id="0">
    <w:p w:rsidR="00360403" w:rsidRDefault="00360403">
      <w:pPr>
        <w:spacing w:after="0" w:line="240" w:lineRule="auto"/>
      </w:pPr>
      <w:r>
        <w:continuationSeparator/>
      </w:r>
    </w:p>
  </w:footnote>
  <w:footnote w:type="continuationNotice" w:id="1">
    <w:p w:rsidR="00360403" w:rsidRDefault="00360403">
      <w:pPr>
        <w:spacing w:after="0" w:line="240" w:lineRule="auto"/>
      </w:pPr>
    </w:p>
  </w:footnote>
  <w:footnote w:id="2">
    <w:p w:rsidR="00730BFB" w:rsidRPr="00730BFB" w:rsidRDefault="00730BFB" w:rsidP="00730BFB">
      <w:pPr>
        <w:pStyle w:val="Textpoznpodarou"/>
        <w:spacing w:line="260" w:lineRule="atLeast"/>
        <w:jc w:val="both"/>
        <w:rPr>
          <w:rFonts w:ascii="Century Gothic" w:hAnsi="Century Gothic" w:cs="Arial"/>
          <w:sz w:val="18"/>
        </w:rPr>
      </w:pPr>
      <w:r w:rsidRPr="00730BFB">
        <w:rPr>
          <w:rFonts w:ascii="Century Gothic" w:hAnsi="Century Gothic" w:cs="Arial"/>
          <w:b/>
          <w:bCs/>
          <w:sz w:val="18"/>
        </w:rPr>
        <w:t xml:space="preserve">Loan to </w:t>
      </w:r>
      <w:proofErr w:type="spellStart"/>
      <w:r w:rsidRPr="00730BFB">
        <w:rPr>
          <w:rFonts w:ascii="Century Gothic" w:hAnsi="Century Gothic" w:cs="Arial"/>
          <w:b/>
          <w:bCs/>
          <w:sz w:val="18"/>
        </w:rPr>
        <w:t>value</w:t>
      </w:r>
      <w:proofErr w:type="spellEnd"/>
      <w:r w:rsidRPr="00730BFB">
        <w:rPr>
          <w:rFonts w:ascii="Century Gothic" w:hAnsi="Century Gothic" w:cs="Arial"/>
          <w:b/>
          <w:bCs/>
          <w:sz w:val="18"/>
        </w:rPr>
        <w:t xml:space="preserve"> (LTV)</w:t>
      </w:r>
      <w:r w:rsidRPr="00730BFB">
        <w:rPr>
          <w:rFonts w:ascii="Century Gothic" w:hAnsi="Century Gothic" w:cs="Arial"/>
          <w:sz w:val="18"/>
        </w:rPr>
        <w:t xml:space="preserve"> v </w:t>
      </w:r>
      <w:r w:rsidRPr="00730BFB">
        <w:rPr>
          <w:rFonts w:ascii="Century Gothic" w:hAnsi="Century Gothic" w:cs="Arial"/>
          <w:sz w:val="18"/>
        </w:rPr>
        <w:t xml:space="preserve">překladu znamená „úvěr k hodnotě“. Jedná se o finanční výraz vyjadřující poměr mezi </w:t>
      </w:r>
      <w:hyperlink r:id="rId1" w:tooltip="Hypoteční úvěr" w:history="1">
        <w:r w:rsidRPr="00730BFB">
          <w:rPr>
            <w:rStyle w:val="Hypertextovodkaz"/>
            <w:rFonts w:ascii="Century Gothic" w:hAnsi="Century Gothic" w:cs="Arial"/>
            <w:color w:val="000000" w:themeColor="text1"/>
            <w:sz w:val="18"/>
            <w:u w:val="none"/>
          </w:rPr>
          <w:t>hypotečním úvěrem</w:t>
        </w:r>
      </w:hyperlink>
      <w:r w:rsidRPr="00730BFB">
        <w:rPr>
          <w:rFonts w:ascii="Century Gothic" w:hAnsi="Century Gothic" w:cs="Arial"/>
          <w:color w:val="000000" w:themeColor="text1"/>
          <w:sz w:val="18"/>
        </w:rPr>
        <w:t xml:space="preserve"> a zástavní </w:t>
      </w:r>
      <w:hyperlink r:id="rId2" w:tooltip="Hodnota nemovitosti" w:history="1">
        <w:r w:rsidRPr="00730BFB">
          <w:rPr>
            <w:rStyle w:val="Hypertextovodkaz"/>
            <w:rFonts w:ascii="Century Gothic" w:hAnsi="Century Gothic" w:cs="Arial"/>
            <w:color w:val="000000" w:themeColor="text1"/>
            <w:sz w:val="18"/>
            <w:u w:val="none"/>
          </w:rPr>
          <w:t>hodnotou nemovitosti</w:t>
        </w:r>
      </w:hyperlink>
      <w:r w:rsidRPr="00730BFB">
        <w:rPr>
          <w:rFonts w:ascii="Century Gothic" w:hAnsi="Century Gothic" w:cs="Arial"/>
          <w:sz w:val="18"/>
        </w:rPr>
        <w:t>. Například obecně používaný výraz "osmdesátiprocentní hypotéka" se formálně nazývá LTV 80. Číslo značí procento z</w:t>
      </w:r>
      <w:r w:rsidR="00A21958">
        <w:rPr>
          <w:rFonts w:ascii="Century Gothic" w:hAnsi="Century Gothic" w:cs="Arial"/>
          <w:sz w:val="18"/>
        </w:rPr>
        <w:t xml:space="preserve"> odhadní </w:t>
      </w:r>
      <w:r w:rsidRPr="00730BFB">
        <w:rPr>
          <w:rFonts w:ascii="Century Gothic" w:hAnsi="Century Gothic" w:cs="Arial"/>
          <w:sz w:val="18"/>
        </w:rPr>
        <w:t>ceny nemovitosti, ze kterého lze vypočítat maximální výši hypotečního úvěru.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0D" w:rsidRPr="0049126C" w:rsidRDefault="000D1562">
    <w:pPr>
      <w:pStyle w:val="Zhlav"/>
      <w:pBdr>
        <w:bottom w:val="single" w:sz="4" w:space="1" w:color="000000"/>
      </w:pBdr>
      <w:rPr>
        <w:rFonts w:ascii="Arial" w:hAnsi="Arial"/>
        <w:sz w:val="28"/>
      </w:rPr>
    </w:pPr>
    <w:r>
      <w:rPr>
        <w:noProof/>
        <w:lang w:val="cs-CZ"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4363720</wp:posOffset>
          </wp:positionH>
          <wp:positionV relativeFrom="paragraph">
            <wp:posOffset>-234950</wp:posOffset>
          </wp:positionV>
          <wp:extent cx="1449705" cy="455295"/>
          <wp:effectExtent l="0" t="0" r="0" b="1905"/>
          <wp:wrapTight wrapText="bothSides">
            <wp:wrapPolygon edited="0">
              <wp:start x="0" y="0"/>
              <wp:lineTo x="0" y="20787"/>
              <wp:lineTo x="21288" y="20787"/>
              <wp:lineTo x="2128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4552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72240D" w:rsidRPr="0049126C">
      <w:rPr>
        <w:rFonts w:ascii="Arial" w:hAnsi="Arial"/>
        <w:sz w:val="28"/>
      </w:rPr>
      <w:t>TISKOVÁ ZPRÁVA</w:t>
    </w:r>
  </w:p>
  <w:p w:rsidR="0072240D" w:rsidRDefault="0072240D">
    <w:pPr>
      <w:pStyle w:val="Zhlav"/>
      <w:pBdr>
        <w:bottom w:val="single" w:sz="4" w:space="1" w:color="000000"/>
      </w:pBdr>
    </w:pPr>
  </w:p>
  <w:p w:rsidR="0072240D" w:rsidRDefault="007224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06191"/>
    <w:multiLevelType w:val="multilevel"/>
    <w:tmpl w:val="A18A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B1E9D"/>
    <w:multiLevelType w:val="hybridMultilevel"/>
    <w:tmpl w:val="3F2AA38E"/>
    <w:lvl w:ilvl="0" w:tplc="D0D62DF2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Reference Specialty" w:eastAsia="MS Reference Specialty" w:hAnsi="MS Reference Specialty" w:cs="MS Reference Specialty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1F4EDF"/>
    <w:multiLevelType w:val="multilevel"/>
    <w:tmpl w:val="2348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35"/>
    <w:rsid w:val="00004CAC"/>
    <w:rsid w:val="000142E3"/>
    <w:rsid w:val="00026DC8"/>
    <w:rsid w:val="000271BD"/>
    <w:rsid w:val="000302EA"/>
    <w:rsid w:val="00030BD0"/>
    <w:rsid w:val="00030F27"/>
    <w:rsid w:val="000324EE"/>
    <w:rsid w:val="000357EC"/>
    <w:rsid w:val="000407E4"/>
    <w:rsid w:val="00040F29"/>
    <w:rsid w:val="00042ED9"/>
    <w:rsid w:val="000430E6"/>
    <w:rsid w:val="000434C2"/>
    <w:rsid w:val="00044860"/>
    <w:rsid w:val="0004538A"/>
    <w:rsid w:val="00053D58"/>
    <w:rsid w:val="0005466F"/>
    <w:rsid w:val="00057757"/>
    <w:rsid w:val="00063F26"/>
    <w:rsid w:val="000656A9"/>
    <w:rsid w:val="00066AC8"/>
    <w:rsid w:val="00067A87"/>
    <w:rsid w:val="00067CFE"/>
    <w:rsid w:val="000774C8"/>
    <w:rsid w:val="00080EC3"/>
    <w:rsid w:val="000810D7"/>
    <w:rsid w:val="0008126B"/>
    <w:rsid w:val="00081BF2"/>
    <w:rsid w:val="00082650"/>
    <w:rsid w:val="000855D5"/>
    <w:rsid w:val="00096751"/>
    <w:rsid w:val="00096CC2"/>
    <w:rsid w:val="0009757B"/>
    <w:rsid w:val="000A0C92"/>
    <w:rsid w:val="000A46C2"/>
    <w:rsid w:val="000B1079"/>
    <w:rsid w:val="000B4742"/>
    <w:rsid w:val="000B5177"/>
    <w:rsid w:val="000B6751"/>
    <w:rsid w:val="000B6798"/>
    <w:rsid w:val="000C205B"/>
    <w:rsid w:val="000C218C"/>
    <w:rsid w:val="000C31D0"/>
    <w:rsid w:val="000D0AC0"/>
    <w:rsid w:val="000D1562"/>
    <w:rsid w:val="000D2164"/>
    <w:rsid w:val="000D2868"/>
    <w:rsid w:val="000D6836"/>
    <w:rsid w:val="000D7B62"/>
    <w:rsid w:val="000E0BB6"/>
    <w:rsid w:val="000F1434"/>
    <w:rsid w:val="000F155D"/>
    <w:rsid w:val="000F1654"/>
    <w:rsid w:val="000F3B57"/>
    <w:rsid w:val="000F3F34"/>
    <w:rsid w:val="00100FBD"/>
    <w:rsid w:val="0010122B"/>
    <w:rsid w:val="00101CE9"/>
    <w:rsid w:val="00103BB2"/>
    <w:rsid w:val="0010601A"/>
    <w:rsid w:val="00106DF1"/>
    <w:rsid w:val="00107F36"/>
    <w:rsid w:val="00112D95"/>
    <w:rsid w:val="00113BB5"/>
    <w:rsid w:val="001149E8"/>
    <w:rsid w:val="00117278"/>
    <w:rsid w:val="00120D50"/>
    <w:rsid w:val="00125874"/>
    <w:rsid w:val="00125EE9"/>
    <w:rsid w:val="00132792"/>
    <w:rsid w:val="00133A94"/>
    <w:rsid w:val="00134EA2"/>
    <w:rsid w:val="00135DFC"/>
    <w:rsid w:val="00142FA7"/>
    <w:rsid w:val="0014617A"/>
    <w:rsid w:val="00150953"/>
    <w:rsid w:val="00151D92"/>
    <w:rsid w:val="00152BDE"/>
    <w:rsid w:val="00157894"/>
    <w:rsid w:val="0016218A"/>
    <w:rsid w:val="00170A7F"/>
    <w:rsid w:val="00171737"/>
    <w:rsid w:val="0017441F"/>
    <w:rsid w:val="001759B4"/>
    <w:rsid w:val="001763A7"/>
    <w:rsid w:val="00177E2F"/>
    <w:rsid w:val="0018063C"/>
    <w:rsid w:val="00180A4E"/>
    <w:rsid w:val="00181ADC"/>
    <w:rsid w:val="00183A8E"/>
    <w:rsid w:val="001848CC"/>
    <w:rsid w:val="00185DF9"/>
    <w:rsid w:val="0018606A"/>
    <w:rsid w:val="00186D63"/>
    <w:rsid w:val="00191B4A"/>
    <w:rsid w:val="00195132"/>
    <w:rsid w:val="0019762C"/>
    <w:rsid w:val="001A51A5"/>
    <w:rsid w:val="001A6731"/>
    <w:rsid w:val="001A7321"/>
    <w:rsid w:val="001B07F6"/>
    <w:rsid w:val="001B5810"/>
    <w:rsid w:val="001C23B8"/>
    <w:rsid w:val="001C67F7"/>
    <w:rsid w:val="001C76B6"/>
    <w:rsid w:val="001D01D1"/>
    <w:rsid w:val="001D6367"/>
    <w:rsid w:val="001E00C5"/>
    <w:rsid w:val="001E36A3"/>
    <w:rsid w:val="001E5382"/>
    <w:rsid w:val="001F51F2"/>
    <w:rsid w:val="001F5DAB"/>
    <w:rsid w:val="00200018"/>
    <w:rsid w:val="002006D7"/>
    <w:rsid w:val="00201763"/>
    <w:rsid w:val="002029C0"/>
    <w:rsid w:val="00204560"/>
    <w:rsid w:val="00207C59"/>
    <w:rsid w:val="00211242"/>
    <w:rsid w:val="00211CED"/>
    <w:rsid w:val="00211DAE"/>
    <w:rsid w:val="002173AB"/>
    <w:rsid w:val="00217EF6"/>
    <w:rsid w:val="00221210"/>
    <w:rsid w:val="002237E3"/>
    <w:rsid w:val="002260CB"/>
    <w:rsid w:val="00233FBB"/>
    <w:rsid w:val="0023408C"/>
    <w:rsid w:val="00244C38"/>
    <w:rsid w:val="00252EB3"/>
    <w:rsid w:val="00253149"/>
    <w:rsid w:val="002574CE"/>
    <w:rsid w:val="00257678"/>
    <w:rsid w:val="00257DF5"/>
    <w:rsid w:val="00263C82"/>
    <w:rsid w:val="00263EC5"/>
    <w:rsid w:val="0026493A"/>
    <w:rsid w:val="00266AFB"/>
    <w:rsid w:val="00280E1F"/>
    <w:rsid w:val="0028379B"/>
    <w:rsid w:val="0028379D"/>
    <w:rsid w:val="002838F4"/>
    <w:rsid w:val="00290805"/>
    <w:rsid w:val="0029252C"/>
    <w:rsid w:val="002930BD"/>
    <w:rsid w:val="00296BD2"/>
    <w:rsid w:val="00296BDE"/>
    <w:rsid w:val="0029736F"/>
    <w:rsid w:val="002A58E9"/>
    <w:rsid w:val="002A7387"/>
    <w:rsid w:val="002A7603"/>
    <w:rsid w:val="002B13C8"/>
    <w:rsid w:val="002B2C0D"/>
    <w:rsid w:val="002B3CF4"/>
    <w:rsid w:val="002B40A5"/>
    <w:rsid w:val="002B4553"/>
    <w:rsid w:val="002B4A0F"/>
    <w:rsid w:val="002B4E8F"/>
    <w:rsid w:val="002B58D6"/>
    <w:rsid w:val="002B5B53"/>
    <w:rsid w:val="002B6A3A"/>
    <w:rsid w:val="002C1976"/>
    <w:rsid w:val="002C2FE4"/>
    <w:rsid w:val="002C4074"/>
    <w:rsid w:val="002C4DBA"/>
    <w:rsid w:val="002C5680"/>
    <w:rsid w:val="002C77DB"/>
    <w:rsid w:val="002C7DFD"/>
    <w:rsid w:val="002D1E82"/>
    <w:rsid w:val="002D23E7"/>
    <w:rsid w:val="002D2A24"/>
    <w:rsid w:val="002D47AD"/>
    <w:rsid w:val="002D4ACF"/>
    <w:rsid w:val="002D710C"/>
    <w:rsid w:val="002E2E0D"/>
    <w:rsid w:val="002F240C"/>
    <w:rsid w:val="002F4DFF"/>
    <w:rsid w:val="00301127"/>
    <w:rsid w:val="00301B0A"/>
    <w:rsid w:val="003035D5"/>
    <w:rsid w:val="00303EEA"/>
    <w:rsid w:val="0031443E"/>
    <w:rsid w:val="00316A69"/>
    <w:rsid w:val="0032076D"/>
    <w:rsid w:val="00321813"/>
    <w:rsid w:val="00323642"/>
    <w:rsid w:val="00323B60"/>
    <w:rsid w:val="0032793A"/>
    <w:rsid w:val="00333627"/>
    <w:rsid w:val="00334899"/>
    <w:rsid w:val="00337A0F"/>
    <w:rsid w:val="00341990"/>
    <w:rsid w:val="003434C1"/>
    <w:rsid w:val="0034492B"/>
    <w:rsid w:val="00344C25"/>
    <w:rsid w:val="00345772"/>
    <w:rsid w:val="00360403"/>
    <w:rsid w:val="0036141F"/>
    <w:rsid w:val="00362837"/>
    <w:rsid w:val="0036427A"/>
    <w:rsid w:val="00364EDE"/>
    <w:rsid w:val="0036566C"/>
    <w:rsid w:val="00365674"/>
    <w:rsid w:val="00366E42"/>
    <w:rsid w:val="00367582"/>
    <w:rsid w:val="00367BE9"/>
    <w:rsid w:val="00372C54"/>
    <w:rsid w:val="00374379"/>
    <w:rsid w:val="003808B9"/>
    <w:rsid w:val="00382CE7"/>
    <w:rsid w:val="00387DAF"/>
    <w:rsid w:val="003A340A"/>
    <w:rsid w:val="003A350A"/>
    <w:rsid w:val="003A4D5A"/>
    <w:rsid w:val="003A7E20"/>
    <w:rsid w:val="003B196E"/>
    <w:rsid w:val="003B1ED6"/>
    <w:rsid w:val="003B2EFB"/>
    <w:rsid w:val="003B4258"/>
    <w:rsid w:val="003B6A2D"/>
    <w:rsid w:val="003B6DB2"/>
    <w:rsid w:val="003C123B"/>
    <w:rsid w:val="003C5852"/>
    <w:rsid w:val="003C6919"/>
    <w:rsid w:val="003D2186"/>
    <w:rsid w:val="003D2DD4"/>
    <w:rsid w:val="003D3099"/>
    <w:rsid w:val="003D7A2A"/>
    <w:rsid w:val="003E001E"/>
    <w:rsid w:val="003E1B03"/>
    <w:rsid w:val="003E4269"/>
    <w:rsid w:val="003E5766"/>
    <w:rsid w:val="003E7221"/>
    <w:rsid w:val="003E76CC"/>
    <w:rsid w:val="003E7C7C"/>
    <w:rsid w:val="003F472C"/>
    <w:rsid w:val="003F54ED"/>
    <w:rsid w:val="00400F17"/>
    <w:rsid w:val="004025D3"/>
    <w:rsid w:val="00406C24"/>
    <w:rsid w:val="00414221"/>
    <w:rsid w:val="004238EE"/>
    <w:rsid w:val="00424FAD"/>
    <w:rsid w:val="00431F2B"/>
    <w:rsid w:val="00432930"/>
    <w:rsid w:val="00435353"/>
    <w:rsid w:val="004363E8"/>
    <w:rsid w:val="004408AD"/>
    <w:rsid w:val="00442FA5"/>
    <w:rsid w:val="0044451A"/>
    <w:rsid w:val="004551A5"/>
    <w:rsid w:val="0045543E"/>
    <w:rsid w:val="00456C47"/>
    <w:rsid w:val="00464F0B"/>
    <w:rsid w:val="00465766"/>
    <w:rsid w:val="00466756"/>
    <w:rsid w:val="004669CC"/>
    <w:rsid w:val="00467129"/>
    <w:rsid w:val="0047230D"/>
    <w:rsid w:val="0047282A"/>
    <w:rsid w:val="00474DDC"/>
    <w:rsid w:val="00477B0D"/>
    <w:rsid w:val="00480165"/>
    <w:rsid w:val="00480E94"/>
    <w:rsid w:val="00482058"/>
    <w:rsid w:val="00490D9E"/>
    <w:rsid w:val="0049126C"/>
    <w:rsid w:val="00491DB0"/>
    <w:rsid w:val="004A0A56"/>
    <w:rsid w:val="004A34C1"/>
    <w:rsid w:val="004A6737"/>
    <w:rsid w:val="004A6C00"/>
    <w:rsid w:val="004B25C7"/>
    <w:rsid w:val="004B5A8A"/>
    <w:rsid w:val="004C1F58"/>
    <w:rsid w:val="004C220D"/>
    <w:rsid w:val="004C439D"/>
    <w:rsid w:val="004C4780"/>
    <w:rsid w:val="004C47BB"/>
    <w:rsid w:val="004C4A40"/>
    <w:rsid w:val="004C51ED"/>
    <w:rsid w:val="004C7E04"/>
    <w:rsid w:val="004D37A5"/>
    <w:rsid w:val="004D6C09"/>
    <w:rsid w:val="004E174C"/>
    <w:rsid w:val="004E3080"/>
    <w:rsid w:val="004E407B"/>
    <w:rsid w:val="004E42A0"/>
    <w:rsid w:val="004E7664"/>
    <w:rsid w:val="004F18C8"/>
    <w:rsid w:val="004F1E88"/>
    <w:rsid w:val="004F203E"/>
    <w:rsid w:val="00500224"/>
    <w:rsid w:val="0050025A"/>
    <w:rsid w:val="0050253E"/>
    <w:rsid w:val="00504B7A"/>
    <w:rsid w:val="00504CE5"/>
    <w:rsid w:val="00504CE6"/>
    <w:rsid w:val="00506F39"/>
    <w:rsid w:val="00506F5C"/>
    <w:rsid w:val="005215E9"/>
    <w:rsid w:val="00521A3A"/>
    <w:rsid w:val="00525DEC"/>
    <w:rsid w:val="00525EDE"/>
    <w:rsid w:val="0052678D"/>
    <w:rsid w:val="00527B89"/>
    <w:rsid w:val="00527DFE"/>
    <w:rsid w:val="00531F01"/>
    <w:rsid w:val="00531F0A"/>
    <w:rsid w:val="0053453A"/>
    <w:rsid w:val="00534DC1"/>
    <w:rsid w:val="00543FBF"/>
    <w:rsid w:val="00554D43"/>
    <w:rsid w:val="00557187"/>
    <w:rsid w:val="00563014"/>
    <w:rsid w:val="00575DCA"/>
    <w:rsid w:val="005774FC"/>
    <w:rsid w:val="005804E4"/>
    <w:rsid w:val="00581ACC"/>
    <w:rsid w:val="00584FB9"/>
    <w:rsid w:val="005855BE"/>
    <w:rsid w:val="00587547"/>
    <w:rsid w:val="005915F8"/>
    <w:rsid w:val="00595989"/>
    <w:rsid w:val="00597DA6"/>
    <w:rsid w:val="005A003F"/>
    <w:rsid w:val="005A1CCA"/>
    <w:rsid w:val="005B450C"/>
    <w:rsid w:val="005B4AC4"/>
    <w:rsid w:val="005B5929"/>
    <w:rsid w:val="005B5C31"/>
    <w:rsid w:val="005B6F80"/>
    <w:rsid w:val="005C1675"/>
    <w:rsid w:val="005C31CC"/>
    <w:rsid w:val="005D013C"/>
    <w:rsid w:val="005D13BA"/>
    <w:rsid w:val="005D1C26"/>
    <w:rsid w:val="005D3D19"/>
    <w:rsid w:val="005D3FE5"/>
    <w:rsid w:val="005D6C2C"/>
    <w:rsid w:val="005E02CC"/>
    <w:rsid w:val="005E7859"/>
    <w:rsid w:val="005F152F"/>
    <w:rsid w:val="005F6977"/>
    <w:rsid w:val="0060128C"/>
    <w:rsid w:val="00601C1E"/>
    <w:rsid w:val="00604798"/>
    <w:rsid w:val="00604DDE"/>
    <w:rsid w:val="00614CC3"/>
    <w:rsid w:val="00617AF2"/>
    <w:rsid w:val="00617B96"/>
    <w:rsid w:val="00617E5B"/>
    <w:rsid w:val="00620BA7"/>
    <w:rsid w:val="00621F0F"/>
    <w:rsid w:val="006222B2"/>
    <w:rsid w:val="00624047"/>
    <w:rsid w:val="006248A8"/>
    <w:rsid w:val="00625F8E"/>
    <w:rsid w:val="00627D3B"/>
    <w:rsid w:val="00634667"/>
    <w:rsid w:val="00634BF8"/>
    <w:rsid w:val="00636455"/>
    <w:rsid w:val="00643192"/>
    <w:rsid w:val="006438F1"/>
    <w:rsid w:val="00644819"/>
    <w:rsid w:val="00645782"/>
    <w:rsid w:val="00652BD5"/>
    <w:rsid w:val="00654153"/>
    <w:rsid w:val="006579A8"/>
    <w:rsid w:val="00657DD8"/>
    <w:rsid w:val="00660246"/>
    <w:rsid w:val="00660F4E"/>
    <w:rsid w:val="0066666C"/>
    <w:rsid w:val="00667896"/>
    <w:rsid w:val="00672200"/>
    <w:rsid w:val="00677645"/>
    <w:rsid w:val="00677FB7"/>
    <w:rsid w:val="0068103E"/>
    <w:rsid w:val="00682826"/>
    <w:rsid w:val="00683935"/>
    <w:rsid w:val="00687E88"/>
    <w:rsid w:val="006937AF"/>
    <w:rsid w:val="00697A60"/>
    <w:rsid w:val="006A1226"/>
    <w:rsid w:val="006A3245"/>
    <w:rsid w:val="006A371B"/>
    <w:rsid w:val="006A4679"/>
    <w:rsid w:val="006B0537"/>
    <w:rsid w:val="006B466F"/>
    <w:rsid w:val="006B57F2"/>
    <w:rsid w:val="006B5B2C"/>
    <w:rsid w:val="006B6095"/>
    <w:rsid w:val="006B716F"/>
    <w:rsid w:val="006B72C4"/>
    <w:rsid w:val="006B7720"/>
    <w:rsid w:val="006C1C98"/>
    <w:rsid w:val="006C36F7"/>
    <w:rsid w:val="006C397A"/>
    <w:rsid w:val="006C582C"/>
    <w:rsid w:val="006C715F"/>
    <w:rsid w:val="006C79D3"/>
    <w:rsid w:val="006D76B3"/>
    <w:rsid w:val="006E1402"/>
    <w:rsid w:val="006E4F82"/>
    <w:rsid w:val="006E541C"/>
    <w:rsid w:val="006F2DC1"/>
    <w:rsid w:val="006F5697"/>
    <w:rsid w:val="007007AA"/>
    <w:rsid w:val="00707B9E"/>
    <w:rsid w:val="00715F18"/>
    <w:rsid w:val="00715F5F"/>
    <w:rsid w:val="007163F6"/>
    <w:rsid w:val="007174AE"/>
    <w:rsid w:val="0072240D"/>
    <w:rsid w:val="00730470"/>
    <w:rsid w:val="00730BFB"/>
    <w:rsid w:val="007329CE"/>
    <w:rsid w:val="00735098"/>
    <w:rsid w:val="007370A8"/>
    <w:rsid w:val="00737EBE"/>
    <w:rsid w:val="00740A21"/>
    <w:rsid w:val="00741472"/>
    <w:rsid w:val="007434E2"/>
    <w:rsid w:val="00746329"/>
    <w:rsid w:val="00747612"/>
    <w:rsid w:val="00747BD5"/>
    <w:rsid w:val="00747C8F"/>
    <w:rsid w:val="0075038B"/>
    <w:rsid w:val="007570BB"/>
    <w:rsid w:val="00762A69"/>
    <w:rsid w:val="00762DF3"/>
    <w:rsid w:val="007639A1"/>
    <w:rsid w:val="00772252"/>
    <w:rsid w:val="00780C1F"/>
    <w:rsid w:val="00782F51"/>
    <w:rsid w:val="00785441"/>
    <w:rsid w:val="007862EA"/>
    <w:rsid w:val="00797EA3"/>
    <w:rsid w:val="007A048A"/>
    <w:rsid w:val="007A41B8"/>
    <w:rsid w:val="007A6B17"/>
    <w:rsid w:val="007B31FC"/>
    <w:rsid w:val="007B68F6"/>
    <w:rsid w:val="007C2BD5"/>
    <w:rsid w:val="007C4855"/>
    <w:rsid w:val="007D3208"/>
    <w:rsid w:val="007E1AA3"/>
    <w:rsid w:val="007E298A"/>
    <w:rsid w:val="007E3C94"/>
    <w:rsid w:val="007E4EB8"/>
    <w:rsid w:val="007E5D54"/>
    <w:rsid w:val="007F3230"/>
    <w:rsid w:val="008066B5"/>
    <w:rsid w:val="00810BBE"/>
    <w:rsid w:val="0081203A"/>
    <w:rsid w:val="008137EC"/>
    <w:rsid w:val="00816FC6"/>
    <w:rsid w:val="00817B0C"/>
    <w:rsid w:val="00820A4E"/>
    <w:rsid w:val="00821038"/>
    <w:rsid w:val="00823E04"/>
    <w:rsid w:val="00826817"/>
    <w:rsid w:val="00826E77"/>
    <w:rsid w:val="00830686"/>
    <w:rsid w:val="00831265"/>
    <w:rsid w:val="00832016"/>
    <w:rsid w:val="00833FC0"/>
    <w:rsid w:val="00851A05"/>
    <w:rsid w:val="008530A3"/>
    <w:rsid w:val="00854A1F"/>
    <w:rsid w:val="00855D8A"/>
    <w:rsid w:val="00862D34"/>
    <w:rsid w:val="008640F2"/>
    <w:rsid w:val="00866D1C"/>
    <w:rsid w:val="008705B4"/>
    <w:rsid w:val="008709E3"/>
    <w:rsid w:val="0087148E"/>
    <w:rsid w:val="008721BC"/>
    <w:rsid w:val="00872BC9"/>
    <w:rsid w:val="00876782"/>
    <w:rsid w:val="0089047F"/>
    <w:rsid w:val="00894154"/>
    <w:rsid w:val="008A1BDF"/>
    <w:rsid w:val="008A39EC"/>
    <w:rsid w:val="008A3DF5"/>
    <w:rsid w:val="008A5622"/>
    <w:rsid w:val="008A6A83"/>
    <w:rsid w:val="008A75EE"/>
    <w:rsid w:val="008B0FEE"/>
    <w:rsid w:val="008B1019"/>
    <w:rsid w:val="008B46B9"/>
    <w:rsid w:val="008C1CE7"/>
    <w:rsid w:val="008C5C15"/>
    <w:rsid w:val="008D0E0C"/>
    <w:rsid w:val="008D0FB1"/>
    <w:rsid w:val="008D6373"/>
    <w:rsid w:val="008D6F8A"/>
    <w:rsid w:val="008D7095"/>
    <w:rsid w:val="008D7E47"/>
    <w:rsid w:val="008E4E0B"/>
    <w:rsid w:val="008F07DF"/>
    <w:rsid w:val="008F340C"/>
    <w:rsid w:val="008F3747"/>
    <w:rsid w:val="0090048B"/>
    <w:rsid w:val="00903003"/>
    <w:rsid w:val="00906661"/>
    <w:rsid w:val="00910EEE"/>
    <w:rsid w:val="009123BD"/>
    <w:rsid w:val="0091541E"/>
    <w:rsid w:val="00921C4A"/>
    <w:rsid w:val="0092431F"/>
    <w:rsid w:val="00930840"/>
    <w:rsid w:val="00931DE5"/>
    <w:rsid w:val="00932B35"/>
    <w:rsid w:val="009343C5"/>
    <w:rsid w:val="00935AC4"/>
    <w:rsid w:val="0093642D"/>
    <w:rsid w:val="0094068B"/>
    <w:rsid w:val="00942DD7"/>
    <w:rsid w:val="00943409"/>
    <w:rsid w:val="00946339"/>
    <w:rsid w:val="0094786A"/>
    <w:rsid w:val="00950CB8"/>
    <w:rsid w:val="00952608"/>
    <w:rsid w:val="00952F70"/>
    <w:rsid w:val="00953283"/>
    <w:rsid w:val="00955529"/>
    <w:rsid w:val="009573D4"/>
    <w:rsid w:val="0097035D"/>
    <w:rsid w:val="00970691"/>
    <w:rsid w:val="00970FE4"/>
    <w:rsid w:val="00972D8C"/>
    <w:rsid w:val="00974078"/>
    <w:rsid w:val="00974245"/>
    <w:rsid w:val="00974385"/>
    <w:rsid w:val="00975100"/>
    <w:rsid w:val="00982C34"/>
    <w:rsid w:val="00984685"/>
    <w:rsid w:val="00985941"/>
    <w:rsid w:val="0098634C"/>
    <w:rsid w:val="00992C75"/>
    <w:rsid w:val="00996EF1"/>
    <w:rsid w:val="009A0B5C"/>
    <w:rsid w:val="009A25BF"/>
    <w:rsid w:val="009A3296"/>
    <w:rsid w:val="009A5069"/>
    <w:rsid w:val="009A6DF9"/>
    <w:rsid w:val="009B127C"/>
    <w:rsid w:val="009B2F05"/>
    <w:rsid w:val="009B3D7E"/>
    <w:rsid w:val="009B712A"/>
    <w:rsid w:val="009C2132"/>
    <w:rsid w:val="009C35F3"/>
    <w:rsid w:val="009C47AA"/>
    <w:rsid w:val="009C4DB7"/>
    <w:rsid w:val="009C5E2D"/>
    <w:rsid w:val="009C6C36"/>
    <w:rsid w:val="009D066A"/>
    <w:rsid w:val="009D1B7B"/>
    <w:rsid w:val="009E45BF"/>
    <w:rsid w:val="009E6764"/>
    <w:rsid w:val="009F0F61"/>
    <w:rsid w:val="009F33A2"/>
    <w:rsid w:val="009F4813"/>
    <w:rsid w:val="009F7561"/>
    <w:rsid w:val="009F7CBC"/>
    <w:rsid w:val="00A02169"/>
    <w:rsid w:val="00A025C8"/>
    <w:rsid w:val="00A03DAD"/>
    <w:rsid w:val="00A06BF5"/>
    <w:rsid w:val="00A1031E"/>
    <w:rsid w:val="00A16BA0"/>
    <w:rsid w:val="00A16D38"/>
    <w:rsid w:val="00A171F9"/>
    <w:rsid w:val="00A20632"/>
    <w:rsid w:val="00A209EC"/>
    <w:rsid w:val="00A21958"/>
    <w:rsid w:val="00A232C7"/>
    <w:rsid w:val="00A276E1"/>
    <w:rsid w:val="00A31B81"/>
    <w:rsid w:val="00A34021"/>
    <w:rsid w:val="00A37760"/>
    <w:rsid w:val="00A4152D"/>
    <w:rsid w:val="00A52FAA"/>
    <w:rsid w:val="00A54F3C"/>
    <w:rsid w:val="00A647C3"/>
    <w:rsid w:val="00A701FC"/>
    <w:rsid w:val="00A718E6"/>
    <w:rsid w:val="00A727A4"/>
    <w:rsid w:val="00A80FDE"/>
    <w:rsid w:val="00A84C6C"/>
    <w:rsid w:val="00A87D0B"/>
    <w:rsid w:val="00A90C4B"/>
    <w:rsid w:val="00A92052"/>
    <w:rsid w:val="00A9313E"/>
    <w:rsid w:val="00A948F4"/>
    <w:rsid w:val="00A94FB5"/>
    <w:rsid w:val="00A976A2"/>
    <w:rsid w:val="00AA1FDB"/>
    <w:rsid w:val="00AA347F"/>
    <w:rsid w:val="00AB4315"/>
    <w:rsid w:val="00AC32E6"/>
    <w:rsid w:val="00AC4256"/>
    <w:rsid w:val="00AC4340"/>
    <w:rsid w:val="00AC46BC"/>
    <w:rsid w:val="00AC5AB5"/>
    <w:rsid w:val="00AC5CBF"/>
    <w:rsid w:val="00AC5CF3"/>
    <w:rsid w:val="00AD2BAF"/>
    <w:rsid w:val="00AD3402"/>
    <w:rsid w:val="00AD35A6"/>
    <w:rsid w:val="00AD4370"/>
    <w:rsid w:val="00AD612E"/>
    <w:rsid w:val="00AD7316"/>
    <w:rsid w:val="00AE182D"/>
    <w:rsid w:val="00AE7214"/>
    <w:rsid w:val="00AF236A"/>
    <w:rsid w:val="00AF25DB"/>
    <w:rsid w:val="00AF3BE0"/>
    <w:rsid w:val="00AF3CDB"/>
    <w:rsid w:val="00AF4075"/>
    <w:rsid w:val="00AF574A"/>
    <w:rsid w:val="00AF71FC"/>
    <w:rsid w:val="00B00661"/>
    <w:rsid w:val="00B0449A"/>
    <w:rsid w:val="00B0773D"/>
    <w:rsid w:val="00B07D8B"/>
    <w:rsid w:val="00B07DA4"/>
    <w:rsid w:val="00B10220"/>
    <w:rsid w:val="00B22DC8"/>
    <w:rsid w:val="00B23FE3"/>
    <w:rsid w:val="00B2742B"/>
    <w:rsid w:val="00B30673"/>
    <w:rsid w:val="00B30E7D"/>
    <w:rsid w:val="00B3175F"/>
    <w:rsid w:val="00B36355"/>
    <w:rsid w:val="00B367EA"/>
    <w:rsid w:val="00B36F95"/>
    <w:rsid w:val="00B40C07"/>
    <w:rsid w:val="00B410B3"/>
    <w:rsid w:val="00B43293"/>
    <w:rsid w:val="00B44878"/>
    <w:rsid w:val="00B463CD"/>
    <w:rsid w:val="00B4719E"/>
    <w:rsid w:val="00B500A7"/>
    <w:rsid w:val="00B619C9"/>
    <w:rsid w:val="00B61C9C"/>
    <w:rsid w:val="00B6238E"/>
    <w:rsid w:val="00B637C0"/>
    <w:rsid w:val="00B66DF8"/>
    <w:rsid w:val="00B722B8"/>
    <w:rsid w:val="00B72E08"/>
    <w:rsid w:val="00B80A0D"/>
    <w:rsid w:val="00B826C4"/>
    <w:rsid w:val="00B82D02"/>
    <w:rsid w:val="00B83AB8"/>
    <w:rsid w:val="00B83E92"/>
    <w:rsid w:val="00B84336"/>
    <w:rsid w:val="00B92B18"/>
    <w:rsid w:val="00B93ED0"/>
    <w:rsid w:val="00BA3BD1"/>
    <w:rsid w:val="00BA63E2"/>
    <w:rsid w:val="00BB0B79"/>
    <w:rsid w:val="00BB2C18"/>
    <w:rsid w:val="00BB3390"/>
    <w:rsid w:val="00BB7435"/>
    <w:rsid w:val="00BB7D80"/>
    <w:rsid w:val="00BC1BD4"/>
    <w:rsid w:val="00BC3309"/>
    <w:rsid w:val="00BC37EC"/>
    <w:rsid w:val="00BC56DB"/>
    <w:rsid w:val="00BD0E1A"/>
    <w:rsid w:val="00BD29BF"/>
    <w:rsid w:val="00BD5E41"/>
    <w:rsid w:val="00BE53B7"/>
    <w:rsid w:val="00BE57DC"/>
    <w:rsid w:val="00C04AC4"/>
    <w:rsid w:val="00C12029"/>
    <w:rsid w:val="00C156E2"/>
    <w:rsid w:val="00C16A6B"/>
    <w:rsid w:val="00C17284"/>
    <w:rsid w:val="00C21E39"/>
    <w:rsid w:val="00C2270C"/>
    <w:rsid w:val="00C2290A"/>
    <w:rsid w:val="00C31A09"/>
    <w:rsid w:val="00C32063"/>
    <w:rsid w:val="00C3221B"/>
    <w:rsid w:val="00C3328C"/>
    <w:rsid w:val="00C34845"/>
    <w:rsid w:val="00C34FCF"/>
    <w:rsid w:val="00C4046A"/>
    <w:rsid w:val="00C425CA"/>
    <w:rsid w:val="00C442C2"/>
    <w:rsid w:val="00C5336B"/>
    <w:rsid w:val="00C5413F"/>
    <w:rsid w:val="00C620C1"/>
    <w:rsid w:val="00C62E61"/>
    <w:rsid w:val="00C6746C"/>
    <w:rsid w:val="00C676A1"/>
    <w:rsid w:val="00C67732"/>
    <w:rsid w:val="00C7104A"/>
    <w:rsid w:val="00C7271D"/>
    <w:rsid w:val="00C737EB"/>
    <w:rsid w:val="00C74E45"/>
    <w:rsid w:val="00C77822"/>
    <w:rsid w:val="00C81BA7"/>
    <w:rsid w:val="00C86301"/>
    <w:rsid w:val="00C92748"/>
    <w:rsid w:val="00CA0532"/>
    <w:rsid w:val="00CA53D9"/>
    <w:rsid w:val="00CA5940"/>
    <w:rsid w:val="00CA71F4"/>
    <w:rsid w:val="00CB28E7"/>
    <w:rsid w:val="00CB2D70"/>
    <w:rsid w:val="00CC29E9"/>
    <w:rsid w:val="00CC37CF"/>
    <w:rsid w:val="00CC632A"/>
    <w:rsid w:val="00CD1020"/>
    <w:rsid w:val="00CD6F97"/>
    <w:rsid w:val="00CE45D6"/>
    <w:rsid w:val="00CE525D"/>
    <w:rsid w:val="00CF1601"/>
    <w:rsid w:val="00CF704A"/>
    <w:rsid w:val="00CF76A1"/>
    <w:rsid w:val="00CF7EDC"/>
    <w:rsid w:val="00D02564"/>
    <w:rsid w:val="00D053E4"/>
    <w:rsid w:val="00D107AA"/>
    <w:rsid w:val="00D10BD6"/>
    <w:rsid w:val="00D1308B"/>
    <w:rsid w:val="00D136C1"/>
    <w:rsid w:val="00D137A2"/>
    <w:rsid w:val="00D13C5C"/>
    <w:rsid w:val="00D1533A"/>
    <w:rsid w:val="00D17137"/>
    <w:rsid w:val="00D17C75"/>
    <w:rsid w:val="00D23E50"/>
    <w:rsid w:val="00D24FA6"/>
    <w:rsid w:val="00D26416"/>
    <w:rsid w:val="00D27BB0"/>
    <w:rsid w:val="00D3327C"/>
    <w:rsid w:val="00D35CD7"/>
    <w:rsid w:val="00D36328"/>
    <w:rsid w:val="00D4169F"/>
    <w:rsid w:val="00D43162"/>
    <w:rsid w:val="00D43447"/>
    <w:rsid w:val="00D46996"/>
    <w:rsid w:val="00D5048D"/>
    <w:rsid w:val="00D542AB"/>
    <w:rsid w:val="00D56001"/>
    <w:rsid w:val="00D57E82"/>
    <w:rsid w:val="00D60881"/>
    <w:rsid w:val="00D637E8"/>
    <w:rsid w:val="00D65854"/>
    <w:rsid w:val="00D67733"/>
    <w:rsid w:val="00D7019B"/>
    <w:rsid w:val="00D7134F"/>
    <w:rsid w:val="00D731C5"/>
    <w:rsid w:val="00D73558"/>
    <w:rsid w:val="00D74673"/>
    <w:rsid w:val="00D83AA9"/>
    <w:rsid w:val="00D962D3"/>
    <w:rsid w:val="00D968C5"/>
    <w:rsid w:val="00D96D85"/>
    <w:rsid w:val="00DA2012"/>
    <w:rsid w:val="00DA3731"/>
    <w:rsid w:val="00DA7A8F"/>
    <w:rsid w:val="00DB3891"/>
    <w:rsid w:val="00DB4F34"/>
    <w:rsid w:val="00DB5F0B"/>
    <w:rsid w:val="00DB7D27"/>
    <w:rsid w:val="00DC7A44"/>
    <w:rsid w:val="00DD0DC9"/>
    <w:rsid w:val="00DD1733"/>
    <w:rsid w:val="00DD4683"/>
    <w:rsid w:val="00DE0893"/>
    <w:rsid w:val="00DE20BF"/>
    <w:rsid w:val="00DE5F51"/>
    <w:rsid w:val="00DE6C38"/>
    <w:rsid w:val="00DE7473"/>
    <w:rsid w:val="00DF1061"/>
    <w:rsid w:val="00DF28E7"/>
    <w:rsid w:val="00DF33E9"/>
    <w:rsid w:val="00E0018A"/>
    <w:rsid w:val="00E02209"/>
    <w:rsid w:val="00E036F3"/>
    <w:rsid w:val="00E04312"/>
    <w:rsid w:val="00E11464"/>
    <w:rsid w:val="00E14D1B"/>
    <w:rsid w:val="00E15EE1"/>
    <w:rsid w:val="00E16480"/>
    <w:rsid w:val="00E204CC"/>
    <w:rsid w:val="00E20738"/>
    <w:rsid w:val="00E20911"/>
    <w:rsid w:val="00E21884"/>
    <w:rsid w:val="00E23527"/>
    <w:rsid w:val="00E23C66"/>
    <w:rsid w:val="00E27889"/>
    <w:rsid w:val="00E3055C"/>
    <w:rsid w:val="00E30A58"/>
    <w:rsid w:val="00E31D94"/>
    <w:rsid w:val="00E3636B"/>
    <w:rsid w:val="00E37BF2"/>
    <w:rsid w:val="00E40A59"/>
    <w:rsid w:val="00E42170"/>
    <w:rsid w:val="00E43A8E"/>
    <w:rsid w:val="00E43D7A"/>
    <w:rsid w:val="00E45469"/>
    <w:rsid w:val="00E50FB2"/>
    <w:rsid w:val="00E5138E"/>
    <w:rsid w:val="00E5357A"/>
    <w:rsid w:val="00E552F6"/>
    <w:rsid w:val="00E60225"/>
    <w:rsid w:val="00E609DB"/>
    <w:rsid w:val="00E634D7"/>
    <w:rsid w:val="00E63921"/>
    <w:rsid w:val="00E65E85"/>
    <w:rsid w:val="00E67081"/>
    <w:rsid w:val="00E7139B"/>
    <w:rsid w:val="00E72C22"/>
    <w:rsid w:val="00E73F6D"/>
    <w:rsid w:val="00E75758"/>
    <w:rsid w:val="00E77D93"/>
    <w:rsid w:val="00E800EF"/>
    <w:rsid w:val="00E801AE"/>
    <w:rsid w:val="00E8498C"/>
    <w:rsid w:val="00E85F1F"/>
    <w:rsid w:val="00E922D9"/>
    <w:rsid w:val="00E93525"/>
    <w:rsid w:val="00E93A05"/>
    <w:rsid w:val="00E979FF"/>
    <w:rsid w:val="00E97FF7"/>
    <w:rsid w:val="00EA2FE3"/>
    <w:rsid w:val="00EA3306"/>
    <w:rsid w:val="00EA3B15"/>
    <w:rsid w:val="00EA62FB"/>
    <w:rsid w:val="00EB0CC7"/>
    <w:rsid w:val="00EC0223"/>
    <w:rsid w:val="00EC15B6"/>
    <w:rsid w:val="00EC1BC4"/>
    <w:rsid w:val="00EC31A0"/>
    <w:rsid w:val="00EC6DA8"/>
    <w:rsid w:val="00ED0AE8"/>
    <w:rsid w:val="00ED121B"/>
    <w:rsid w:val="00ED2174"/>
    <w:rsid w:val="00ED4400"/>
    <w:rsid w:val="00ED44C1"/>
    <w:rsid w:val="00EE0422"/>
    <w:rsid w:val="00EE15FB"/>
    <w:rsid w:val="00EE1E5C"/>
    <w:rsid w:val="00EE33A4"/>
    <w:rsid w:val="00EE389B"/>
    <w:rsid w:val="00EE63EE"/>
    <w:rsid w:val="00EF08AA"/>
    <w:rsid w:val="00EF1175"/>
    <w:rsid w:val="00EF5207"/>
    <w:rsid w:val="00EF7EDA"/>
    <w:rsid w:val="00F013A1"/>
    <w:rsid w:val="00F0350F"/>
    <w:rsid w:val="00F047C9"/>
    <w:rsid w:val="00F05070"/>
    <w:rsid w:val="00F06BA8"/>
    <w:rsid w:val="00F11CE4"/>
    <w:rsid w:val="00F1262A"/>
    <w:rsid w:val="00F1306D"/>
    <w:rsid w:val="00F131C1"/>
    <w:rsid w:val="00F21238"/>
    <w:rsid w:val="00F21704"/>
    <w:rsid w:val="00F23F33"/>
    <w:rsid w:val="00F26B0F"/>
    <w:rsid w:val="00F3536E"/>
    <w:rsid w:val="00F3766C"/>
    <w:rsid w:val="00F41018"/>
    <w:rsid w:val="00F4175D"/>
    <w:rsid w:val="00F41EDA"/>
    <w:rsid w:val="00F42456"/>
    <w:rsid w:val="00F4257E"/>
    <w:rsid w:val="00F43BB0"/>
    <w:rsid w:val="00F443EA"/>
    <w:rsid w:val="00F447B9"/>
    <w:rsid w:val="00F46970"/>
    <w:rsid w:val="00F46C3A"/>
    <w:rsid w:val="00F52FA6"/>
    <w:rsid w:val="00F561C4"/>
    <w:rsid w:val="00F56540"/>
    <w:rsid w:val="00F568E2"/>
    <w:rsid w:val="00F57D36"/>
    <w:rsid w:val="00F609B8"/>
    <w:rsid w:val="00F60DDB"/>
    <w:rsid w:val="00F61990"/>
    <w:rsid w:val="00F6350B"/>
    <w:rsid w:val="00F7301B"/>
    <w:rsid w:val="00F733D7"/>
    <w:rsid w:val="00F81A79"/>
    <w:rsid w:val="00F847FB"/>
    <w:rsid w:val="00F84BD3"/>
    <w:rsid w:val="00F87359"/>
    <w:rsid w:val="00F90489"/>
    <w:rsid w:val="00F90BF5"/>
    <w:rsid w:val="00F93410"/>
    <w:rsid w:val="00F93EA9"/>
    <w:rsid w:val="00F9661F"/>
    <w:rsid w:val="00FA1869"/>
    <w:rsid w:val="00FA2214"/>
    <w:rsid w:val="00FA45A2"/>
    <w:rsid w:val="00FB0F24"/>
    <w:rsid w:val="00FB528F"/>
    <w:rsid w:val="00FC0FA1"/>
    <w:rsid w:val="00FC10C6"/>
    <w:rsid w:val="00FC3A4E"/>
    <w:rsid w:val="00FC607F"/>
    <w:rsid w:val="00FC7651"/>
    <w:rsid w:val="00FC771C"/>
    <w:rsid w:val="00FD07E2"/>
    <w:rsid w:val="00FD27DC"/>
    <w:rsid w:val="00FD3606"/>
    <w:rsid w:val="00FD68BC"/>
    <w:rsid w:val="00FD6A14"/>
    <w:rsid w:val="00FD6D2B"/>
    <w:rsid w:val="00FD721B"/>
    <w:rsid w:val="00FD765A"/>
    <w:rsid w:val="00FE098C"/>
    <w:rsid w:val="00FE2409"/>
    <w:rsid w:val="00FE5A65"/>
    <w:rsid w:val="00FE6AF0"/>
    <w:rsid w:val="00FF49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F8E489C-1A17-44AA-810E-4C451E57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AC46BC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3FC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styleId="Hypertextovodkaz">
    <w:name w:val="Hyperlink"/>
    <w:uiPriority w:val="99"/>
    <w:semiHidden/>
    <w:rPr>
      <w:rFonts w:cs="Times New Roman"/>
      <w:color w:val="0000FF"/>
      <w:u w:val="single"/>
    </w:rPr>
  </w:style>
  <w:style w:type="character" w:customStyle="1" w:styleId="ZhlavChar">
    <w:name w:val="Záhlaví Char"/>
    <w:rPr>
      <w:rFonts w:ascii="Calibri" w:eastAsia="Calibri" w:hAnsi="Calibri" w:cs="Times New Roman"/>
    </w:rPr>
  </w:style>
  <w:style w:type="character" w:customStyle="1" w:styleId="ZpatChar">
    <w:name w:val="Zápatí Char"/>
    <w:rPr>
      <w:rFonts w:ascii="Calibri" w:eastAsia="Calibri" w:hAnsi="Calibri" w:cs="Times New Roman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  <w:bCs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Bezmezer1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ormln1">
    <w:name w:val="Normální1"/>
    <w:pPr>
      <w:suppressAutoHyphens/>
    </w:pPr>
    <w:rPr>
      <w:rFonts w:cs="Calibri"/>
      <w:color w:val="000000"/>
      <w:sz w:val="24"/>
      <w:szCs w:val="22"/>
      <w:lang w:eastAsia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Bezmezer10">
    <w:name w:val="Bez mezer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paragraph" w:customStyle="1" w:styleId="Textkomente1">
    <w:name w:val="Text komentáře1"/>
    <w:basedOn w:val="Normln"/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jc w:val="both"/>
    </w:pPr>
    <w:rPr>
      <w:rFonts w:cs="Times New Roman"/>
    </w:rPr>
  </w:style>
  <w:style w:type="character" w:styleId="Sledovanodkaz">
    <w:name w:val="FollowedHyperlink"/>
    <w:uiPriority w:val="99"/>
    <w:semiHidden/>
    <w:unhideWhenUsed/>
    <w:rsid w:val="0068393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AD7316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AD7316"/>
    <w:rPr>
      <w:rFonts w:cs="Times New Roman"/>
      <w:sz w:val="20"/>
      <w:szCs w:val="20"/>
      <w:lang w:val="x-none"/>
    </w:rPr>
  </w:style>
  <w:style w:type="character" w:customStyle="1" w:styleId="TextkomenteChar1">
    <w:name w:val="Text komentáře Char1"/>
    <w:link w:val="Textkomente"/>
    <w:uiPriority w:val="99"/>
    <w:semiHidden/>
    <w:rsid w:val="00AD7316"/>
    <w:rPr>
      <w:rFonts w:ascii="Calibri" w:eastAsia="Calibri" w:hAnsi="Calibri" w:cs="Calibri"/>
      <w:lang w:eastAsia="ar-SA"/>
    </w:rPr>
  </w:style>
  <w:style w:type="character" w:customStyle="1" w:styleId="Nadpis1Char">
    <w:name w:val="Nadpis 1 Char"/>
    <w:link w:val="Nadpis1"/>
    <w:uiPriority w:val="9"/>
    <w:rsid w:val="00AC46BC"/>
    <w:rPr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unhideWhenUsed/>
    <w:rsid w:val="00AC46B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AC46BC"/>
  </w:style>
  <w:style w:type="paragraph" w:customStyle="1" w:styleId="Default">
    <w:name w:val="Default"/>
    <w:rsid w:val="00432930"/>
    <w:pPr>
      <w:autoSpaceDE w:val="0"/>
      <w:autoSpaceDN w:val="0"/>
      <w:adjustRightInd w:val="0"/>
    </w:pPr>
    <w:rPr>
      <w:rFonts w:ascii="GothamBookCE" w:hAnsi="GothamBookCE" w:cs="GothamBookCE"/>
      <w:color w:val="000000"/>
      <w:sz w:val="24"/>
      <w:szCs w:val="24"/>
    </w:rPr>
  </w:style>
  <w:style w:type="character" w:customStyle="1" w:styleId="A16">
    <w:name w:val="A16"/>
    <w:uiPriority w:val="99"/>
    <w:rsid w:val="00432930"/>
    <w:rPr>
      <w:rFonts w:cs="GothamBookCE"/>
      <w:color w:val="000000"/>
      <w:sz w:val="30"/>
      <w:szCs w:val="30"/>
    </w:rPr>
  </w:style>
  <w:style w:type="paragraph" w:customStyle="1" w:styleId="TextA">
    <w:name w:val="Text A"/>
    <w:rsid w:val="00A103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customStyle="1" w:styleId="Nadpis2Char">
    <w:name w:val="Nadpis 2 Char"/>
    <w:link w:val="Nadpis2"/>
    <w:uiPriority w:val="9"/>
    <w:semiHidden/>
    <w:rsid w:val="00833FC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styleId="Zdraznn">
    <w:name w:val="Emphasis"/>
    <w:uiPriority w:val="20"/>
    <w:qFormat/>
    <w:rsid w:val="00525DEC"/>
    <w:rPr>
      <w:i/>
      <w:iCs/>
    </w:rPr>
  </w:style>
  <w:style w:type="paragraph" w:styleId="Revize">
    <w:name w:val="Revision"/>
    <w:hidden/>
    <w:uiPriority w:val="99"/>
    <w:semiHidden/>
    <w:rsid w:val="00221210"/>
    <w:rPr>
      <w:rFonts w:ascii="Calibri" w:eastAsia="Calibri" w:hAnsi="Calibri" w:cs="Calibri"/>
      <w:sz w:val="22"/>
      <w:szCs w:val="22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584F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4FB9"/>
    <w:rPr>
      <w:rFonts w:ascii="Calibri" w:eastAsia="Calibri" w:hAnsi="Calibri" w:cs="Calibri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584FB9"/>
    <w:rPr>
      <w:vertAlign w:val="superscript"/>
    </w:rPr>
  </w:style>
  <w:style w:type="paragraph" w:customStyle="1" w:styleId="selectionshareable">
    <w:name w:val="selectionshareable"/>
    <w:basedOn w:val="Normln"/>
    <w:rsid w:val="00A31B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datetime">
    <w:name w:val="datetime"/>
    <w:basedOn w:val="Standardnpsmoodstavce"/>
    <w:rsid w:val="00A31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7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22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38473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20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2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lexxus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e.cimplova@crestcom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rka.vondrac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exxus.cz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s.wikipedia.org/wiki/Hodnota_nemovitosti" TargetMode="External"/><Relationship Id="rId1" Type="http://schemas.openxmlformats.org/officeDocument/2006/relationships/hyperlink" Target="https://cs.wikipedia.org/wiki/Hypote%C4%8Dn%C3%AD_%C3%BAv%C4%9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5613-BB16-49C8-8042-58B1231B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Realitní kancelář LEXXUS v nejúspěšnějším pokrizovém roce prodala byty za 2,5 miliardy korun</vt:lpstr>
    </vt:vector>
  </TitlesOfParts>
  <Company>Hewlett-Packard</Company>
  <LinksUpToDate>false</LinksUpToDate>
  <CharactersWithSpaces>3725</CharactersWithSpaces>
  <SharedDoc>false</SharedDoc>
  <HLinks>
    <vt:vector size="12" baseType="variant">
      <vt:variant>
        <vt:i4>1966173</vt:i4>
      </vt:variant>
      <vt:variant>
        <vt:i4>3</vt:i4>
      </vt:variant>
      <vt:variant>
        <vt:i4>0</vt:i4>
      </vt:variant>
      <vt:variant>
        <vt:i4>5</vt:i4>
      </vt:variant>
      <vt:variant>
        <vt:lpwstr>http://www.lexxus.cz/</vt:lpwstr>
      </vt:variant>
      <vt:variant>
        <vt:lpwstr/>
      </vt:variant>
      <vt:variant>
        <vt:i4>6226039</vt:i4>
      </vt:variant>
      <vt:variant>
        <vt:i4>0</vt:i4>
      </vt:variant>
      <vt:variant>
        <vt:i4>0</vt:i4>
      </vt:variant>
      <vt:variant>
        <vt:i4>5</vt:i4>
      </vt:variant>
      <vt:variant>
        <vt:lpwstr>mailto:pr@lexxus.cz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Realitní kancelář LEXXUS v nejúspěšnějším pokrizovém roce prodala byty za 2,5 miliardy korun</dc:title>
  <dc:creator>Karolína Křenková</dc:creator>
  <cp:lastModifiedBy>Marie Cimplová</cp:lastModifiedBy>
  <cp:revision>7</cp:revision>
  <cp:lastPrinted>2016-07-28T09:11:00Z</cp:lastPrinted>
  <dcterms:created xsi:type="dcterms:W3CDTF">2016-08-29T14:31:00Z</dcterms:created>
  <dcterms:modified xsi:type="dcterms:W3CDTF">2016-09-01T07:57:00Z</dcterms:modified>
</cp:coreProperties>
</file>